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21/2008 vom 29. Januar 2008</w:t>
      </w:r>
    </w:p>
    <w:p>
      <w:r>
        <w:t>Bundesgericht, 2008-01-29, FR</w:t>
      </w:r>
    </w:p>
    <w:p>
      <w:r>
        <w:rPr>
          <w:b/>
        </w:rPr>
        <w:t xml:space="preserve">Quelle: </w:t>
      </w:r>
      <w:r>
        <w:t>https://mcp.opencaselaw.ch/entscheid/bger_1C_21_2008</w:t>
      </w:r>
    </w:p>
    <w:p>
      <w:r>
        <w:t>FR: TF 1C 21/2008 du 29 janvier 2008</w:t>
      </w:r>
    </w:p>
    <w:p>
      <w:r>
        <w:t>IT: TF 1C 21/2008 del 29 gennaio 2008</w:t>
      </w:r>
    </w:p>
    <w:p>
      <w:pPr>
        <w:pStyle w:val="Heading2"/>
      </w:pPr>
      <w:r>
        <w:t>Regeste</w:t>
      </w:r>
    </w:p>
    <w:p>
      <w:r>
        <w:t>police des constructions | Aménagement du territoire et droit public des constructions</w:t>
      </w:r>
    </w:p>
    <w:p>
      <w:pPr>
        <w:pStyle w:val="Heading2"/>
      </w:pPr>
      <w:r>
        <w:t>Erwägungen</w:t>
      </w:r>
    </w:p>
    <w:p>
      <w:r>
        <w:rPr>
          <w:b/>
        </w:rPr>
        <w:t>E. 1</w:t>
      </w:r>
    </w:p>
    <w:p>
      <w:r>
        <w:t>En vertu de l' art. 42 al. 1 LTF , les mémoires destinés au Tribunal fédéral doivent être rédigés dans une langue officielle. Cette exigence est respectée dans le cas particulier. Le présent arrêt doit être rédigé en français, langue de la décision attaquée, conformément à la règle de l' art. 54 al. 1 LTF .</w:t>
      </w:r>
    </w:p>
    <w:p>
      <w:r>
        <w:rPr>
          <w:b/>
        </w:rPr>
        <w:t>E. 2</w:t>
      </w:r>
    </w:p>
    <w:p>
      <w:r>
        <w:t>L' art. 42 al. 1 LTF exige que le mémoire de recours indique des conclusions et des motifs. Les conclusions du recourant ne sont pas, en l'espèce, formulées de manière claire. Il y a lieu cependant de considérer que son recours tend à l'annulation des deux arrêts que le Tribunal cantonal a rendus les 28 septembre et 30 novembre 2007.</w:t>
      </w:r>
    </w:p>
    <w:p>
      <w:r>
        <w:rPr>
          <w:b/>
        </w:rPr>
        <w:t>E. 3</w:t>
      </w:r>
    </w:p>
    <w:p>
      <w:r>
        <w:t>Il convient d'examiner en premier lieu si le recours, dirigé contre ces deux décisions, a été formé en temps utile.</w:t>
      </w:r>
    </w:p>
    <w:p>
      <w:r>
        <w:rPr>
          <w:b/>
        </w:rPr>
        <w:t>E. 3.1</w:t>
      </w:r>
    </w:p>
    <w:p>
      <w:r>
        <w:t>En vertu de l' art. 100 al. 1 LTF - applicable au recours en matière de droit public dirigé contre la décision d'un tribunal cantonal dans le domaine du droit des constructions (cf. art. 82 let. a LTF ) - , le recours doit être déposé devant le Tribunal fédéral dans les 30 jours qui suivent la notification de l'expédition complète de la décision attaquée. Une situation spéciale est traitée à l' art. 100 al. 6 LTF : "Si la décision d'un tribunal cantonal supérieur peut être déférée à une autre autorité judiciaire cantonale pour une partie seulement des griefs visés aux art. 95 à 98, le délai de recours commence à courir à compter de la notification de la décision de cette autorité" (en allemand: " Wenn der Entscheid eines oberen kantonalen Gerichts mit einem Rechtsmittel, das nicht alle Rügen nach den Artikeln 95-98 zulässt, bei einer zusätzlichen kantonalen Gerichtsinstanz angefochten worden ist, so beginnt die Beschwerdefrist erst mit der Eröffnung des Entscheids dieser Instanz"; en italien: "Se la decisione di un tribunale superiore cantonale è impugnata dinanzi a un'ulteriore autorità giudiziaria cantonale mediante un rimedio giuridico che consente di sollevare soltanto parte delle censure di cui agli articoli 95-98, il termine di ricorso decorre dalla notificazione della decisione di tale autorità"). L' art. 100 al. 6 LTF s'applique lorsque le canton connaît une instance supplémentaire de recours (soit, généralement, une troisième instance) où seuls certains griefs sont traités, après le recours "ordinaire" au tribunal cantonal où tous les griefs recevables devant le Tribunal fédéral peuvent être examinés sans restriction (cf. art. 95 à 98 LTF, en relation avec l' art. 111 al. 3 LTF ; pour des cas d'application de l' art. 100 al. 6 LTF , lorsqu'un recours en nullité cantonal a été formé parallèlement au recours en matière civile selon les art. 72 ss LTF , cf. arrêts 4A_221/2007, du 20 novembre 2007, et 5A_86/2007, du 3 septembre 2007, tous deux destinés à la publication).</w:t>
      </w:r>
    </w:p>
    <w:p>
      <w:r>
        <w:rPr>
          <w:b/>
        </w:rPr>
        <w:t>E. 3.2</w:t>
      </w:r>
    </w:p>
    <w:p>
      <w:r>
        <w:t>Certaines lois connaissent une procédure où l'autorité de recours elle-même est habilitée à interpréter sa propre décision, à la demande d'une partie. C'est le cas de la loi sur le Tribunal fédéral ( art. 129 al. 1 LTF , correspondant à l'ancien 145 al. 1 OJ) et, également, de la loi cantonale valaisanne sur la procédure et la juridiction administratives (art. 64 al. 1 LPJA). La partie qui demande l'interprétation ne défère pas la décision concernée "à une autre autorité judiciaire", au sens de l' art. 100 al. 6 LTF ; elle n'attaque pas ("anfechten", "impugnare") la décision dont elle veut obtenir une reformulation claire et complète. La demande d'interprétation n'est pas à proprement parler un recours (en allemand: ce n'est pas un "Rechtsmittel" mais plutôt un "Rechtsbehelf" - cf. Oscar Vogel/Karl Spühler, Grundriss des Zivilprozessrechts, 8e éd. Berne 2006, p. 379). En conséquence, il faut considérer que l' art. 100 al. 6 LTF n'est pas applicable quand la partie attaque, devant le Tribunal fédéral, d'une part une décision rendue en dernière instance par un tribunal cantonal et, d'autre part, la décision de ce même tribunal, dans la même cause, sur une demande d'interprétation.</w:t>
      </w:r>
    </w:p>
    <w:p>
      <w:r>
        <w:rPr>
          <w:b/>
        </w:rPr>
        <w:t>E. 3.3</w:t>
      </w:r>
    </w:p>
    <w:p>
      <w:r>
        <w:t>Il s'ensuit que le recours en matière de droit public est irrecevable en tant qu'il est dirigé contre l'arrêt de la Cour de droit public du Tribunal cantonal du 28 septembre 2007. Cet arrêt a été notifié au recourant au plus tard le 30 octobre 2007 (date du dépôt de la demande d'interprétation) et le délai de trente jours de l' art. 100 al. 1 LTF était échu le 16 janvier 2008, date de la remise du recours à La Poste Suisse (cf. art. 48 al. 1 LTF ). En revanche, en tant qu'il est dirigé contre l'arrêt du 30 novembre 2007 de la Cour de droit public du Tribunal cantonal, rejetant la demande d'interprétation, le recours n'est pas tardif, étant précisé que le délai de l' art. 100 al. 1 LTF était suspendu du 18 décembre au 2 janvier inclus ( art. 46 al. 1 let . c LTF).</w:t>
      </w:r>
    </w:p>
    <w:p>
      <w:r>
        <w:rPr>
          <w:b/>
        </w:rPr>
        <w:t>E. 4</w:t>
      </w:r>
    </w:p>
    <w:p>
      <w:r>
        <w:t>Vu l'objet de la décision attaquée, le seul grief concevable est celui d'une application contraire au droit fédéral - y compris le droit constitutionnel fédéral ( art. 95 let. a LTF ; cf. ATF 133 II 249 consid. 1.2.1 p. 252; 133 III 446 consid. 3.1 p. 447) - des normes pertinentes pour l'interprétation d'un arrêt du Tribunal cantonal. En d'autres termes, une partie à la procédure peut en pareil cas se plaindre devant le Tribunal fédéral d'une violation des garanties formelles du droit constitutionnel fédéral (par exemple du droit d'être entendu selon l' art. 29 al. 2 Cst. ) ou d'une application arbitraire ( art. 9 Cst. ) du droit cantonal concernant l'interprétation des jugements. S'agissant des griefs de violation des droits fondamentaux (art. 7 à 36 Cst.), l' art. 106 al. 2 LTF prévoit pour la motivation du recours des exigences qualifiées, qui correspondent à celles prescrites par l'ancien art. 90 al. 1 let. b OJ . Le Tribunal fédéral, qui n'est pas une juridiction d'appel, n'examine pas d'office si la décision attaquée retient les faits pertinents ni si elle est conforme aux règles de droit applicables; il incombe au recourant d'expliquer de manière claire et précise en quoi cette décision pourrait être contraire aux garanties de la Constitution (cf. ATF 133 II 249 consid. 1.4.2 p. 254; 133 III 439 consid. 3.2 p. 444; 133 IV 286 consid. 1.4 p. 287). Le présent recours n'est manifestement pas motivé conformément à ces exigences. Il ne contient aucune référence expresse à l'actuelle Constitution fédérale, du 18 avril 1999. Il ne critique pas de manière claire et précise l'application de l'art. 64 al. 1 LPJA. En réalité, le recourant développe une fois encore les arguments qu'il avait soumis au Tribunal cantonal, dans son recours contre la décision du Conseil d'Etat du 16 mai 2007, et il critique le rejet de ses conclusions; comme cela a été exposé ci-dessus (consid. 3), le Tribunal fédéral ne peut pas entrer en matière à ce propos à cause de la tardiveté du recours. Les griefs contre sa condamnation aux frais de justice sont, eux aussi, dirigés principalement contre le premier arrêt du Tribunal cantonal, du 28 septembre 2007. A tout le moins, il n'est pas exposé de manière claire et précise en quoi il serait contraire au droit constitutionnel fédéral de mettre les frais d'une décision rejetant entièrement une demande d'interprétation à la charge de l'auteur de cette demande. A défaut de respecter les prescriptions de l' art. 106 al. 2 LTF (en relation avec l' art. 42 al. 2 LTF ), le recours doit donc être déclaré irrecevable.</w:t>
      </w:r>
    </w:p>
    <w:p>
      <w:r>
        <w:rPr>
          <w:b/>
        </w:rPr>
        <w:t>E. 5</w:t>
      </w:r>
    </w:p>
    <w:p>
      <w:r>
        <w:t>Le recourant, dont l'acte est entièrement irrecevable, succombe; conformément à la règle de l'art. 66 al. 1, 1ère phrase LTF, il doit supporter les frais judiciaires. Il n'y a pas lieu d'allouer des dépens, les autres parties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