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1C_219/2019 vom 1. Mai 2019</w:t>
      </w:r>
    </w:p>
    <w:p>
      <w:r>
        <w:t>Bundesgericht, 2019-05-01, DE</w:t>
      </w:r>
    </w:p>
    <w:p>
      <w:r>
        <w:rPr>
          <w:b/>
        </w:rPr>
        <w:t xml:space="preserve">Quelle: </w:t>
      </w:r>
      <w:r>
        <w:t>https://mcp.opencaselaw.ch/entscheid/bger_1C_219_2019</w:t>
      </w:r>
    </w:p>
    <w:p>
      <w:r>
        <w:t>FR: TF 1C_219/2019 du 1 mai 2019</w:t>
      </w:r>
    </w:p>
    <w:p>
      <w:r>
        <w:t>IT: TF 1C_219/2019 del 1 maggio 2019</w:t>
      </w:r>
    </w:p>
    <w:p>
      <w:pPr>
        <w:pStyle w:val="Heading2"/>
      </w:pPr>
      <w:r>
        <w:t>Erwägungen</w:t>
      </w:r>
    </w:p>
    <w:p>
      <w:r>
        <w:rPr>
          <w:b/>
        </w:rPr>
        <w:t>E. 1</w:t>
      </w:r>
    </w:p>
    <w:p>
      <w:r>
        <w:t>Die Eidgenössische Schätzungskommission, Kreis IV, wies mit Entscheid vom 19. Juni 2018 das Entschädigungsbegehren von A.A.________ und B.A.________ im Zusammenhang mit dem Projekt der Schweizerischen Bundesbahnen SBB "Neue Doppelspur Salgesch-Leuk" wegen Verwirkung, Verjährung sowie aufgrund fehlender Kausalität zwischen den Tunnelsprengungen und der Rissbildung am Haus von A.A.________ und B.A.________ ab. Gegen diesen Entscheid erhoben A.A.________ und B.A.________ am 21. August 2018 Beschwerde. Das Bundesverwaltungsgericht hiess mit Urteil vom 12. März 2019 die Beschwerde gut, hob die Verfügung vom 19. Juni 2018 auf und wies die Sache zu zusätzlicher Beweiserhebung sowie zum Neuentscheid im Sinn der Erwägungen an die Vorinstanz zurück.</w:t>
      </w:r>
    </w:p>
    <w:p>
      <w:r>
        <w:rPr>
          <w:b/>
        </w:rPr>
        <w:t>E. 2</w:t>
      </w:r>
    </w:p>
    <w:p>
      <w:r>
        <w:t>Die Schweizerischen Bundesbahnen SBB führen mit Eingabe vom 29. April 2019 Beschwerde in öffentlich-rechtlichen Angelegenheiten gegen das Urteil des Bundesverwaltungsgerichts vom 12. März 2019. Das Bundesgericht verzichtet auf die Einholung von Vernehmlassungen.</w:t>
      </w:r>
    </w:p>
    <w:p>
      <w:r>
        <w:rPr>
          <w:b/>
        </w:rPr>
        <w:t>E. 3</w:t>
      </w:r>
    </w:p>
    <w:p>
      <w:r>
        <w:t>Mit dem angefochtenen Urteil hat das Bundesverwaltungsgericht die Angelegenheit nicht abschliessend beurteilt, sondern zu zusätzlicher Beweiserhebung sowie zum Neuentscheid an die Eidgenössische Schätzungskommission, Kreis IV, zurückgewiesen. Ein derartiger Rückweisungsentscheid schliesst das Verfahren nicht ab und ist daher grundsätzlich kein Endentscheid im Sinne von Art. 90 BGG , sondern ein Zwischenentscheid. Zwischenentscheide sind, von den hier nicht gegebenen Ausnahmen gemäss Art. 92 BGG abgesehen, beim Bundesgericht nur unter den Voraussetzungen von Art. 93 Abs. 1 BGG anfechtbar, d.h. wenn sie einen nicht wieder gutzumachenden Nachteil rechtlicher Natur ( BGE 133 IV 139 E. 4) bewirken können (lit. a) oder wenn die Gutheissung der Beschwerde sofort einen Endentscheid herbeiführen und damit einen bedeutenden Aufwand an Zeit oder Kosten für ein weitläufiges Beweisverfahren ersparen würde (lit. b). Nach Art. 42 Abs. 2 BGG hat die beschwerdeführende Partei darzulegen, inwiefern die Voraussetzungen von Art. 93 Abs. 1 BGG erfüllt sind, soweit diese nicht offensichtlich vorliegen ( BGE 138 III 46 E. 1.2 S. 47; zum Ganzen: BGE 141 IV 284 E. 2.3 S. 287; 289 E. 1.3 S. 292).</w:t>
      </w:r>
    </w:p>
    <w:p>
      <w:r>
        <w:t>Die Beschwerdeführerin äussert sich nicht zu den Beschwerdevoraussetzungen von Art. 93 Abs. 1 BGG . Inwiefern die Sachurteilsvoraussetzungen von Art. 93 Abs. 1 BGG erfüllt sein könnten, ist auch nicht offensichtlich. Auf die Beschwerde ist somit wegen Verletzung der gesetzlichen Begründungspflicht im vereinfachten Verfahren nach Art. 108 BGG nicht einzutreten.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