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218/2009 vom 26. November 2009</w:t>
      </w:r>
    </w:p>
    <w:p>
      <w:r>
        <w:t>Bundesgericht, 2009-11-26, DE</w:t>
      </w:r>
    </w:p>
    <w:p>
      <w:r>
        <w:rPr>
          <w:b/>
        </w:rPr>
        <w:t xml:space="preserve">Quelle: </w:t>
      </w:r>
      <w:r>
        <w:t>https://mcp.opencaselaw.ch/entscheid/bger_1C_218_2009</w:t>
      </w:r>
    </w:p>
    <w:p>
      <w:r>
        <w:t>FR: TF 1C 218/2009 du 26 novembre 2009</w:t>
      </w:r>
    </w:p>
    <w:p>
      <w:r>
        <w:t>IT: TF 1C 218/2009 del 26 novembre 2009</w:t>
      </w:r>
    </w:p>
    <w:p>
      <w:pPr>
        <w:pStyle w:val="Heading2"/>
      </w:pPr>
      <w:r>
        <w:t>Regeste</w:t>
      </w:r>
    </w:p>
    <w:p>
      <w:r>
        <w:t>Warnungsentzug SVG | Strassenbau und Strassenverkehr</w:t>
      </w:r>
    </w:p>
    <w:p>
      <w:pPr>
        <w:pStyle w:val="Heading2"/>
      </w:pPr>
      <w:r>
        <w:t>Erwägungen</w:t>
      </w:r>
    </w:p>
    <w:p>
      <w:r>
        <w:rPr>
          <w:b/>
        </w:rPr>
        <w:t>E. 1</w:t>
      </w:r>
    </w:p>
    <w:p>
      <w:r>
        <w:t>Das Bundesamt ist zur Beschwerde legitimiert ( Art. 89 Abs. 2 lit. a BGG i.V.m. Art. 10 Abs. 4 OV-UVEK [SR 172.217.1]; vgl. Urteil des Bundesgerichtes 1C_22/2009 vom 17. September 2009 E. 1). Die übrigen Sachurteilsvoraussetzungen von Art. 82 ff. BGG geben zu keinen Bemerkungen Anlass.</w:t>
      </w:r>
    </w:p>
    <w:p>
      <w:r>
        <w:rPr>
          <w:b/>
        </w:rPr>
        <w:t>E. 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In seiner Beschwerde vertritt das Bundesamt den Standpunkt, im vorliegenden Fall könne nicht von einem leichten Verschulden des privaten Beschwerdegegners ausgegangen werden. Zudem fehle es auch am Erfordernis einer bloss geringen Gefahr für die anderen Verkehrsteilnehmer. Mit der Annahme eines leichten Falles im Sinne von Art. 16a SVG hätten die kantonalen Instanzen Bundesrecht verletzt. Es liege eine mittelschwere Widerhandlung im Sinne von Art. 16b SVG vor. Da dem privaten Beschwerdegegner innerhalb der letzten zwei Jahre der Führerausweis bereits wegen einer schweren Widerhandlung entzogen war, betrage die Mindestentzugsdauer vier Monate ( Art. 16b Abs. 2 lit. b SVG ). Der von den kantonalen Instanzen verfügte Warnungsentzug von einem Monat sei zu korrigieren. Das zusätzlich verfügte Aufgebot zum Verkehrsunterricht sei zu bestätigen.</w:t>
      </w:r>
    </w:p>
    <w:p>
      <w:r>
        <w:rPr>
          <w:b/>
        </w:rPr>
        <w:t>E. 4</w:t>
      </w:r>
    </w:p>
    <w:p>
      <w:r>
        <w:t>Fahrzeuge auf gekennzeichneten Hauptstrassen haben den Vortritt, auch wenn sie von links kommen. ( Art. 36 Abs. 2 Satz 2 SVG ). Wer zur Gewährung des Vortritts verpflichtet ist, darf den Vortrittsberechtigten in seiner Fahrt nicht behindern. Er hat seine Geschwindigkeit frühzeitig zu mässigen und, wenn er warten muss, vor Beginn der Verzweigung zu halten ( Art. 14 Abs. 1 VRV [SR 741.11]). Das Signal "Kein Vortritt" verpflichtet den Führer, den Fahrzeugen auf der Strasse, der er sich nähert, den Vortritt zu gewähren ( Art. 36 Abs. 2 Satz 1 SSV [SR 741.21]).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 Die mittelschwere Widerhandlung nach Art. 16b SVG stellt einen Auffangtatbestand dar. Eine solche liegt vor, wenn nicht alle privilegierenden Elemente einer leichten Widerhandlung nach Art. 16a SVG und nicht alle qualifizierenden Elemente einer schweren Widerhandlung nach Art. 16c SVG gegeben sind ( BGE 135 II 138 E. 2.2.2 S. 141 mit Hinweisen).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w:t>
      </w:r>
    </w:p>
    <w:p>
      <w:r>
        <w:rPr>
          <w:b/>
        </w:rPr>
        <w:t>E. 5</w:t>
      </w:r>
    </w:p>
    <w:p>
      <w:r>
        <w:t>Die Vorinstanz geht im angefochtenen Entscheid von folgendem Sachverhalt aus: Der private Beschwerdegegner sei am 23. Juni 2008 (um ca. 17.35 Uhr) von der Autobahnausfahrt Wangen an der Aare herkommend auf der Wangenstrasse Richtung Umfahrungsstrasse gefahren. In der Absicht, nach links (Richtung Solothurn) in die Umfahrungsstrasse einzumünden, habe er an seinem Personenwagen den Blinker gestellt und sei links eingespurt. Vier bis fünf Personenwagen hätten zu diesem Zeitpunkt vor ihm analoge Verkehrsmanöver ausgeführt. Nach und nach hätten diese Fahrzeuge im dichten Verkehr in die (als Hauptstrasse signalisierte) Umfahrungsstrasse eingefädelt. Als der private Beschwerdegegner selbst vor dieser angekommen sei, habe er beim Signal "kein Vortritt" zunächst angehalten. Von rechts und links hätten sich (auf der Hauptstrasse) Fahrzeuge genähert. Vor dem privaten Beschwerdegegner habe sich noch ein silberfarbener Personenwagen befunden. Dessen Lenker habe ebenfalls nach links Richtung Solothurn abbiegen wollen. Zu diesem Zweck sei der Vordermann über die Wangenstrasse hinaus auf den rechten Fahrstreifen der Hauptstrasse hinausgefahren, um bei passender Gelegenheit in den Verkehr nach links einzufädeln. Als das silberfarbene Fahrzeug quer zur Hauptstrasse auf das Einfädeln gewartet habe, sei auf der Hauptstrasse ein Motorradlenker von Solothurn kommend mit ca. 60 km/h Richtung Niederbipp gefahren. Als der Motorradlenker das silberfarbene Fahrzeug (vor sich auf der rechten Fahrspur) sah, habe er seine Geschwindigkeit gedrosselt, worauf der silberfarbene Personenwagen in den dichten Verkehrsfluss Richtung Solothurn eingefädelt habe. Im selben Moment sei der (dicht nachfolgende) private Beschwerdegegner, der bei der Einmündung zur Hauptstrasse an der Signalisation "kein Vortritt" gewartet hatte, seinerseits auf die Hauptstrasse hinausgefahren. Dabei habe er den von links herannahenden Motorradlenker übersehen. Dieser sei gegen die Fahrertüre des beschwerdegegnerischen Fahrzeuges geprallt und habe sich beim Sturz vom Motorrad leichte Verletzungen zugezogen.</w:t>
      </w:r>
    </w:p>
    <w:p>
      <w:r>
        <w:rPr>
          <w:b/>
        </w:rPr>
        <w:t>E. 6</w:t>
      </w:r>
    </w:p>
    <w:p>
      <w:r>
        <w:t>Der private Beschwerdegegner macht geltend, es hätten "mehrere unglückliche Umstände" zum Unfall beigetragen. Der vom Bundesamt beantragte viermonatige Führerausweisentzug gefährde seine berufliche Existenz als Verkaufs- und Marketingleiter.</w:t>
      </w:r>
    </w:p>
    <w:p>
      <w:r>
        <w:rPr>
          <w:b/>
        </w:rPr>
        <w:t>E. 7</w:t>
      </w:r>
    </w:p>
    <w:p>
      <w:r>
        <w:t>Wie in Erwägung 4 dargelegt, verlangt die Annahme eines leichten Falles im Sinne von Art. 16a SVG sowohl ein leichtes Verschulden des Lenkers als auch eine geringe Gefahr für die Sicherheit anderer Personen. Bei der von der Vorinstanz festgestellten Sachlage kann nicht von einer geringen Gefahr im Sinne des Gesetzes ausgegangen werden (vgl. BGE 135 II 138 E. 2.3 S. 142 f.). Durch sein vorschriftswidriges und unvorsichtiges Einfädeln in die Hauptstrasse unter Missachtung des signalisierten Vortrittsrechtes bei dichtem Verkehr hat der private Beschwerdegegner die übrigen Verkehrsteilnehmer erheblich gefährdet. Die konkrete und erhebliche Gefahr hat sich denn auch in einem Verkehrsunfall mit Personen- und Sachschaden unmittelbar realisiert. Dass das vortrittsberechtigte Unfallopfer bei seinem Aufprall auf das Fahrzeug des privaten Beschwerdegegners keine schweren Verletzungen davongetragen hat, ist dem glücklichen Zufall zu verdanken. Die Annahme eines leichten Falles durch die Vorinstanz hält demnach vor dem Bundesrecht nicht stand. Es kann offen bleiben, ob es darüber hinaus auch noch an der zusätzlichen Voraussetzung des leichten Verschuldens mangeln würde. Zu den Gründen, die im vorliegenden Fall eher für ein mittelschweres Verschulden sprechen, kann auf die Beschwerdeschrift des Bundesamtes verwiesen werden. Das Vorbringen, auch andere Verkehrsteilnehmer hätten Verkehrsvorschriften missachtet, vermag den privaten Beschwerdegegner im hier zu beurteilenden Zusammenhang nicht zu entlasten. Dies umso weniger, als ein etwaiges separates Fehlverhalten Dritter den adäquaten Kausalzusammenhang zwischen der Verkehrsregelverletzung des privaten Beschwerdegegners und den verursachten Unfallfolgen nicht unterbrochen hätte.</w:t>
      </w:r>
    </w:p>
    <w:p>
      <w:r>
        <w:rPr>
          <w:b/>
        </w:rPr>
        <w:t>E. 8</w:t>
      </w:r>
    </w:p>
    <w:p>
      <w:r>
        <w:t>Nach einer mittelschweren Widerhandlung wird der Führerausweis für mindestens vier Monate entzogen, wenn in den vorangegangenen zwei Jahren der Ausweis einmal wegen einer schweren oder mittelschweren Widerhandlung entzogen war ( Art. 16b Abs. 2 lit. b SVG ). Bei der Festsetzung der Dauer des Warnungsentzuges darf die gesetzliche Mindestentzugsdauer nicht unterschritten werden ( Art. 16 Abs. 3 Satz 2 SVG ). Nach den Feststellungen der Vorinstanz ist dem privaten Beschwerdegegner wegen Führens eines Motorfahrzeuges mit einer qualifiziert hohen Blutalkoholkonzentration (1,14 Promille) am 20. November 2006 der Führerausweis für die Dauer von drei Monaten rechtskräftig entzogen worden. Es handelte sich dabei um eine schwere Widerhandlung (im Sinne von Art. 16b Abs. 2 lit. b i.V.m. Art. 16c Abs. 1 lit. b SVG ). Der Vollzug der Administrativmassnahme endete am 24. Januar 2007. Nach dem Gesagten beträgt die Mindestdauer des hier zu beurteilenden Führerausweisentzuges vier Monate. Die von den kantonalen Instanzen verfügte einmonatige Entzugsdauer verletzt Bundesrecht. Das verfügte Aufgebot zum Verkehrsunterricht ( Art. 40 Abs. 3-4 VZV , SR 741.51) wurde nicht angefochten.</w:t>
      </w:r>
    </w:p>
    <w:p>
      <w:r>
        <w:rPr>
          <w:b/>
        </w:rPr>
        <w:t>E. 9</w:t>
      </w:r>
    </w:p>
    <w:p>
      <w:r>
        <w:t>Die Beschwerde ist gutzuheissen, der angefochtene Entscheid aufzuheben und die Administrativstreitsache zur Neuentscheidung im Sinne der Erwägungen an die Vorinstanz zurückzuweisen ( Art. 107 Abs. 2 BGG ). Die Gerichtskosten sind dem privaten Beschwerdegegner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