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1C_217/2019 vom 4. Dezember 2020</w:t>
      </w:r>
    </w:p>
    <w:p>
      <w:r>
        <w:t>Bundesgericht, 2020-12-04, DE</w:t>
      </w:r>
    </w:p>
    <w:p>
      <w:r>
        <w:rPr>
          <w:b/>
        </w:rPr>
        <w:t xml:space="preserve">Quelle: </w:t>
      </w:r>
      <w:r>
        <w:t>https://mcp.opencaselaw.ch/entscheid/bger_1C_217_2019</w:t>
      </w:r>
    </w:p>
    <w:p>
      <w:r>
        <w:t>FR: TF 1C_217/2019 du 4 décembre 2020</w:t>
      </w:r>
    </w:p>
    <w:p>
      <w:r>
        <w:t>IT: TF 1C_217/2019 del 4 dicembre 2020</w:t>
      </w:r>
    </w:p>
    <w:p>
      <w:pPr>
        <w:pStyle w:val="Heading2"/>
      </w:pPr>
      <w:r>
        <w:t>Erwägungen</w:t>
      </w:r>
    </w:p>
    <w:p>
      <w:r>
        <w:rPr>
          <w:b/>
        </w:rPr>
        <w:t>E. 1</w:t>
      </w:r>
    </w:p>
    <w:p>
      <w:r>
        <w:t>Koordination</w:t>
      </w:r>
    </w:p>
    <w:p>
      <w:r>
        <w:t>Die Gesamtverfügung der Baudirektion Kanton Zürich BVV Nr. 17-0645 vom 10. Mai 2017 bildet Bestandteil der vorliegenden Baubewilligung.</w:t>
      </w:r>
    </w:p>
    <w:p>
      <w:r>
        <w:rPr>
          <w:b/>
        </w:rPr>
        <w:t>E. 1.1</w:t>
      </w:r>
    </w:p>
    <w:p>
      <w:r>
        <w:t>Angefochten ist ein Entscheid einer letzten kantonalen Instanz in einer baurechtlichen Angelegenheit. Dagegen steht grundsätzlich die Beschwerde in öffentlich-rechtlichen Angelegenheiten offen ( Art. 82 lit. a, Art. 86 Abs. 1 lit. d und Abs. 2 BGG ); ein Ausnahmegrund im Sinne von Art. 83 BGG ist nicht gegeben. Die Beschwerdeführer haben am vorinstanzlichen Verfahren teilgenommen und sind als Bewohner von Liegenschaften innerhalb des Einspracheperimeters sowie Adressaten des angefochtenen Urteils zur Beschwerde berechtigt ( Art. 89 Abs. 1 BGG ).</w:t>
      </w:r>
    </w:p>
    <w:p>
      <w:r>
        <w:rPr>
          <w:b/>
        </w:rPr>
        <w:t>E. 1.2</w:t>
      </w:r>
    </w:p>
    <w:p>
      <w:r>
        <w:t>Weiter ist zu prüfen, ob es sich beim Urteil des Verwaltungsgerichts vom 14. März 2019 um einen anfechtbaren Entscheid im Sinne von Art. 90 ff. BGG handelt.</w:t>
      </w:r>
    </w:p>
    <w:p>
      <w:r>
        <w:rPr>
          <w:b/>
        </w:rPr>
        <w:t>E. 1.2.1</w:t>
      </w:r>
    </w:p>
    <w:p>
      <w:r>
        <w:t>Dem angefochtenen verwaltungsgerichtlichen Urteil ging der Entscheid des Baurekursgerichts des Kantons Zürich vom 21. Februar 2018 voran, womit dieses den Rekurs insoweit teilweise guthiess, als es Dispositiv-Ziffer I.1 der Baubewilligung aufhob und die Vorinstanz einlud, die Baubewilligung bezüglich der notwendigen Abnahmemessungen im Sinne der Erwägungen zu ergänzen. Im Übrigen wies das Baurekursgericht den Rekurs ab.</w:t>
      </w:r>
    </w:p>
    <w:p>
      <w:r>
        <w:t>Der Gemeinderat hat mit besagter Dispositiv-Ziffer I.1 seiner Baubewilligung vom 12. Juli 2017 Folgendes beschlossen:</w:t>
      </w:r>
    </w:p>
    <w:p>
      <w:r>
        <w:t>"I. Die baurechtliche Bewilligung für das vorstehend beschriebene Bauvorhaben wird gemäss den eingereichten Unterlagen mit den folgenden Nebenbestimmungen erteilt:</w:t>
      </w:r>
    </w:p>
    <w:p>
      <w:r>
        <w:rPr>
          <w:b/>
        </w:rPr>
        <w:t>E. 1.2.2</w:t>
      </w:r>
    </w:p>
    <w:p>
      <w:r>
        <w:t>Mit dem Entscheid des Baurekursgerichts vom 21. Februar 2018 ist das Verfahren auf Kantonsebene nicht abgeschlossen: Das Baurekursgericht hob die vom Gemeinderat der Beschwerdegegnerin erteilte Baubewilligung teilweise auf und wies die Sache an diesen zurück zur Ergänzung der Baubewilligung im Sinne der Erwägungen. Mithin hat der Gemeinderat eine neue Baubewilligung zu erlassen. Gemäss den Erwägungen des Baurekursgerichts ist es Aufgabe der kommunalen Baubehörde, die Resultate und Empfehlungen der Fachbehörde in den baurechtlichen Entscheid zu implementieren, wobei dieser noch ein gewisser Ermessensspielraum zukommt. Damit handelt es sich beim baurekursgerichtlichen Entscheid um einen Zwischenentscheid.</w:t>
      </w:r>
    </w:p>
    <w:p>
      <w:r>
        <w:t>Nachdem das Verwaltungsgericht die dagegen erhobene Beschwerde abgewiesen hat, soweit es darauf eingetreten ist, stellt auch das vorliegend angefochtene verwaltungsgerichtliche Urteil einen Zwischenentscheid im Sinne von Art. 93 BGG dar (vgl. BGE 142 III 653 E. 1.1 S. 654 f.; 139 V 604 E. 2.1 S. 606; je mit Hinweisen; FELIX UHLMANN, in: Basler Kommentar, Bundesgerichtsgesetz, 3. Aufl. 2018, N. 10 zu Art. 92 BGG ).</w:t>
      </w:r>
    </w:p>
    <w:p>
      <w:r>
        <w:rPr>
          <w:b/>
        </w:rPr>
        <w:t>E. 1.2.3</w:t>
      </w:r>
    </w:p>
    <w:p>
      <w:r>
        <w:t>Gegen selbstständig eröffnete Vor- und Zwischenentscheide, die weder die Zuständigkeit noch ein Ausstandsbegehren betreffen,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selbstständige Anfechtbarkeit von Zwischenentscheiden bildet eine Ausnahme vom Grundsatz, dass sich das Bundesgericht mit jeder Angelegenheit nur einmal befassen soll ( BGE 144 III 253 E. 1.3 S. 254 ; 135 I 261 E. 1.2 S. 263; je mit Hinweisen). Es obliegt der beschwerdeführenden Partei, detailliert darzutun, inwiefern die Voraussetzungen gemäss Art. 93 Abs. 1 BGG erfüllt sind, soweit diese nicht offensichtlich vorliegen ( Art. 42 Abs. 2 BGG ; BGE 142 III 798 E. 2.2 S. 801; 141 III 395 E. 2.5 S. 399 f.;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1.2.4</w:t>
      </w:r>
    </w:p>
    <w:p>
      <w:r>
        <w:t>Die Beschwerdeführer machen geltend, es drohe insofern ein nicht wieder gutzumachender Nachteil, als die mit dem Bau und der Inbetriebnahme der Mobilfunkanlage einmal entstandenen übermässigen Mobilfunkemissionen und -immissionen im nichtthermischen Bereich sowie die Eigentumsverletzung nicht mehr rückgängig gemacht werden könnten. Dabei übersehen sie, dass der angefochtene, vorinstanzliche Entscheid die Beschwerdegegnerin nicht zum Bau der geplanten Mobilfunkanlage berechtigt; vielmehr hat der Gemeinderat eine neue, im Sinne der baurekursgerichtlichen Erwägungen ergänzte Baubewilligung zu erlassen. Den Beschwerdeführern steht sodann die Möglichkeit offen, einen allfälligen, für sie ungünstigen Endentscheid anzufechten. Diesfalls können sie das vorliegend angefochtene Urteil des Verwaltungsgerichts zusammen mit dem Endentscheid anfechten, soweit es sich auf dessen Inhalt auswirkt ( Art. 93 Abs. 3 BGG ). Den Beschwerdeführern droht somit kein nicht wieder gutzumachender Nachteil im Sinne von Art. 93 Abs. 1 lit. a BGG .</w:t>
      </w:r>
    </w:p>
    <w:p>
      <w:r>
        <w:t>Die Beschwerdeführer berufen sich nicht auf Art. 93 Abs. 1 lit. b BGG und es ist auch nicht ersichtlich, inwiefern die Gutheissung der Beschwerde einen bedeutenden Aufwand an Zeit oder Kosten für ein weitläufiges Beweisverfahren ersparen würde, ist für die vom Baurekursgericht verlangte Ergänzung der Baubewilligung doch kein weitläufiges Beweisverfahren nötig. Damit erweist sich die Beschwerde auch mit Blick auf Art. 93 Abs. 1 lit. b BGG als unzulässig.</w:t>
      </w:r>
    </w:p>
    <w:p>
      <w:r>
        <w:rPr>
          <w:b/>
        </w:rPr>
        <w:t>E. 2</w:t>
      </w:r>
    </w:p>
    <w:p>
      <w:r>
        <w:t>Nach diesen Ausführungen sind die Voraussetzungen gemäss Art. 93 Abs. 1 lit. a und b BGG für die Anfechtung des vorinstanzlichen Zwischenentscheids nicht erfüllt. Diese gelten sowohl für die Beschwerde in öffentlich-rechtlichen Angelegenheiten als auch für die subsidiäre Verfassungsbeschwerde (vgl. Art. 117 BGG ), weshalb auf beide Beschwerden nicht einzutreten ist. Da sich die vorliegende Angelegenheit somit als spruchreif erweist und der Entscheid in der Sache noch aussteht, ist das Sistierungsgesuch abzuweisen.</w:t>
      </w:r>
    </w:p>
    <w:p>
      <w:r>
        <w:t>Bei diesem Ausgang des Verfahrens sind die Gerichtskosten den unterliegenden Beschwerdeführern unter solidarischer Haftung aufzuerlegen ( Art. 66 Abs. 1 und 5 BGG ). Überdies haben sie die private, anwaltlich vertretene Beschwerdegegnerin für das bundesgerichtliche Verfahren, ebenfalls unter Solidarhaft,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