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1C_214/2026 vom 29. April 2026</w:t>
      </w:r>
    </w:p>
    <w:p>
      <w:r>
        <w:t>Bundesgericht, 2026-04-29, DE</w:t>
      </w:r>
    </w:p>
    <w:p>
      <w:r>
        <w:rPr>
          <w:b/>
        </w:rPr>
        <w:t xml:space="preserve">Quelle: </w:t>
      </w:r>
      <w:r>
        <w:t>https://mcp.opencaselaw.ch/entscheid/bger_1C_214_2026</w:t>
      </w:r>
    </w:p>
    <w:p>
      <w:r>
        <w:t>FR: TF 1C_214/2026 du 29 avril 2026</w:t>
      </w:r>
    </w:p>
    <w:p>
      <w:r>
        <w:t>IT: TF 1C_214/2026 del 29 aprile 2026</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nach Art. 84 BGG vorliegt, so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Das Bundesstrafgericht legte dar, der vom Beschwerdeführer vorgelegte "Labortest" enthalte weder ein Datum noch die betroffene Person. Als Hinweis auf eine Vergiftung im slowenischen Gefängnis (Juni 2021) gebe es damit einzig die Darstellung des Beschwerdeführers, wobei selbst diese kein politisches Delikt und keine politische Verfolgung nahelege. Wer die sogenannten Drohbriefe in die Schweiz versandt habe, bleibe unklar, und dass ihm slowenische Behörden diese während des Auslieferungsverfahrens im Mai/Juni 2025 geschickt hätten, sei eine nicht nachvollziehbare Annahme des Beschwerdeführers. Ein politischer Charakter der Strafverfolgung sei daher offensichtlich nicht dargetan.</w:t>
      </w:r>
    </w:p>
    <w:p>
      <w:r>
        <w:t>Der Beschwerdeführer hält dem entgegen, er habe mehrfach und substanziiert geltend gemacht, das gegen ihn gerichtete Strafverfahren sei politisch motiviert. Er verweist auf frühere Eingaben im Verfahren, was der Begründungsobliegenheit nach Art. 42 Abs. 2 BGG allerdings nicht genügt (vgl. BGE 143 II 283 E. 1.2.3; 141 V 509 E. 2; je mit Hinweisen). Weiter führt er den eingereichten Labortest an, der eine hohe Dosis von Gift in seinem Körper belege, und den Umstand, dass die slowenischen Behörden keine Abklärungen vorgenommen hätten. Dabei übergeht er allerdings die Feststellung der Vorinstanz, er selbst habe gemäss den Angaben des slowenischen Justizministeriums bei seiner Haftentlassung am 16. Juni 2021 eine ärztliche Untersuchung abgelehnt. Weshalb er davon ausgeht, dass die von ihm erwähnten Drohbriefe von staatlichen Stellen ausgehen sollen, legt er ebenfalls nicht dar. Ebenso wenig substanziiert er seine Behauptung, gemäss einem Zeugen hätten staatliche Exponenten in den Jahren 2014 und 2020 versucht, ihn zu bestechen und seiner Familie mit dem Tod gedroht.</w:t>
      </w:r>
    </w:p>
    <w:p>
      <w:r>
        <w:t>Das Bundesstrafgericht hat die bundesgerichtliche Rechtsprechung zur Einrede des politischen Delikts korrekt wiedergegeben (vgl. BGE 132 II 469 E. 2.4; Urteile 1C_412/2024 vom 12. Juli 2024 E. 3.1; 1C_748/2021 vom 10. Dezember 2021 E. 1.2; je mit Hinweisen). Da sich weder aus den vorinstanzlichen Sachverhaltsfeststellungen noch den weitgehend unsubstanziierten Vorbringen des Beschwerdeführers konkrete Hinweise für eine politische Verfolgung ergeben, besteht für das Bundesgericht kein Anlass, die Sache an die Hand zu nehmen. Auch sonst erweist sich der Fall nicht als besonders bedeutend.</w:t>
      </w:r>
    </w:p>
    <w:p>
      <w:r>
        <w:rPr>
          <w:b/>
        </w:rPr>
        <w:t>E. 2</w:t>
      </w:r>
    </w:p>
    <w:p>
      <w:r>
        <w:t>Nach dem Ausgeführten ist auf die Beschwerde nicht einzutreten.</w:t>
      </w:r>
    </w:p>
    <w:p>
      <w:r>
        <w:t>Der Beschwerdeführer hat ein Gesuch um unentgeltliche Rechtspflege gestellt ( Art. 64 BGG ). Er hat seine finanziellen Verhältnisse jedoch nicht offen gelegt, weshalb nicht beurteilt werden kann, ob er nicht über die erforderlichen Mittel verfügt. Abgesehen davon erscheint seine Beschwerde auch als aussichtslos, wobei insofern zu berücksichtigen ist, dass er sich über weite Strecken nicht hinreichend mit dem angefochtenen Entscheid auseinandersetzt und zudem unbelegte Behauptungen aufstellt. Sein Gesuch ist deshalb abzuweisen und die Kosten des bundesgerichtlichen Verfahrens ihm aufzuerlegen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