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1C_213/2019 vom 26. April 2019</w:t>
      </w:r>
    </w:p>
    <w:p>
      <w:r>
        <w:t>Bundesgericht, 2019-04-26, DE</w:t>
      </w:r>
    </w:p>
    <w:p>
      <w:r>
        <w:rPr>
          <w:b/>
        </w:rPr>
        <w:t xml:space="preserve">Quelle: </w:t>
      </w:r>
      <w:r>
        <w:t>https://mcp.opencaselaw.ch/entscheid/bger_1C_213_2019</w:t>
      </w:r>
    </w:p>
    <w:p>
      <w:r>
        <w:t>FR: TF 1C_213/2019 du 26 avril 2019</w:t>
      </w:r>
    </w:p>
    <w:p>
      <w:r>
        <w:t>IT: TF 1C_213/2019 del 26 aprile 2019</w:t>
      </w:r>
    </w:p>
    <w:p>
      <w:pPr>
        <w:pStyle w:val="Heading2"/>
      </w:pPr>
      <w:r>
        <w:t>Erwägungen</w:t>
      </w:r>
    </w:p>
    <w:p>
      <w:r>
        <w:rPr>
          <w:b/>
        </w:rPr>
        <w:t>E. 1</w:t>
      </w:r>
    </w:p>
    <w:p>
      <w:r>
        <w:t>Angefochten ist ein kantonal letztinstanzlicher Entscheid, mit dem das Verwaltungsgericht eine Bausache an die Baubewilligungsbehörde zurückgewiesen hat. Dagegen ist die Beschwerde in öffentlich-rechtlichen Angelegenheiten zulässig ( Art. 82 ff.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Nach Art. 42 Abs. 2 BGG hat die Beschwerdeführerin darzulegen, dass die Sachurteilsvoraussetzungen erfüllt sind; bei der Anfechtung von Zwischenentscheiden hat sie die Tatsachen anzuführen, aus denen sich der nicht wieder gutzumachende Nachteil ergeben soll, sofern dies nicht offensichtlich ist ( BGE 138 III 46 E. 1.2 S. 47; zum Ganzen: BGE 141 IV 284 E. 2.3 S. 287; 289 E. 1.3 S. 292).</w:t>
      </w:r>
    </w:p>
    <w:p>
      <w:r>
        <w:t>Die Beschwerdeführerin legt nicht dar, inwiefern die Sachurteilsvoraussetzungen von Art. 93 Abs. 1 BGG erfüllt sein könnten, und das ist auch nicht offensichtlich. Auf die Beschwerde ist wegen Verletzung der gesetzlichen Begründungspflicht nicht einzutreten, und zwar, weil der Mangel offensichtlich ist, im vereinfachten Verfahren. Kosten sind keine zu erheben ( Art. 66 Abs. 4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