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1C_212/2008 vom 17. November 2008</w:t>
      </w:r>
    </w:p>
    <w:p>
      <w:r>
        <w:t>Bundesgericht, 2008-11-17, DE</w:t>
      </w:r>
    </w:p>
    <w:p>
      <w:r>
        <w:rPr>
          <w:b/>
        </w:rPr>
        <w:t xml:space="preserve">Quelle: </w:t>
      </w:r>
      <w:r>
        <w:t>https://mcp.opencaselaw.ch/entscheid/bger_1C_212_2008</w:t>
      </w:r>
    </w:p>
    <w:p>
      <w:r>
        <w:t>FR: TF 1C_212/2008 du 17 novembre 2008</w:t>
      </w:r>
    </w:p>
    <w:p>
      <w:r>
        <w:t>IT: TF 1C_212/2008 del 17 novembre 2008</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2</w:t>
      </w:r>
    </w:p>
    <w:p>
      <w:r>
        <w:t>Angefochten ist ein kantonal letztinstanzlicher Entscheid, mit dem eine Beschwerde gegen einen Baulinienplan und damit einen (Sonder-)Nutzungsplan im Sinne von Art. 14 ff. des Bundesgesetzes vom 22. Juni 1979 über die Raumplanung (Raumplanungsgesetz, RPG, SR 700) abgewiesen wurde. Dagegen steht grundsätzlich die Beschwerde in öffentlich-rechtlichen Angelegenheiten offen ( Art. 82 ff. BGG ).</w:t>
      </w:r>
    </w:p>
    <w:p>
      <w:r>
        <w:rPr>
          <w:b/>
        </w:rPr>
        <w:t>E. 2.1</w:t>
      </w:r>
    </w:p>
    <w:p>
      <w:r>
        <w:t>Die erforderliche Genehmigung des strittigen Baulinienplans durch die zuständige kantonale Behörde ( Art. 26 RPG ; § 109 i.V.m. § 2 des Zürcher Planungs- und Baugesetzes vom 7. September 1975 [PBG]) ist noch nicht erfolgt.</w:t>
      </w:r>
    </w:p>
    <w:p>
      <w:r>
        <w:rPr>
          <w:b/>
        </w:rPr>
        <w:t>E. 2.2</w:t>
      </w:r>
    </w:p>
    <w:p>
      <w:r>
        <w:t>Das Bundesgericht tritt auf Beschwerden gegen Rechtsmittelentscheide über die Festsetzung von Nutzungsplänen grundsätzlich nur ein, wenn ein Genehmigungsentscheid im Sinne von Art. 26 Abs. 1 RPG vorliegt. Diese Praxis galt bereits für die staatsrechtliche Beschwerde nach dem OG ( BGE 120 Ia 19 E. 2a S. 22; 118 Ia 165 E. 2a S. 168; 116 Ia 221 E. 1e S. 226; Urteil des Bundesgerichts 1P.68/1998 vom 31. März 1998, publ. in ZBl 100/1999 S. 70, E. 1b/bb) und wird auch unter der Geltung des BGG weitergeführt (vgl. Urteile des Bundesgerichts 1C_190/2007 vom 7. Dezember 2007 E. 2.2 und 1C_39/2008 vom 28. August 2008 E. 1.1.1, je mit Hinweisen).</w:t>
      </w:r>
    </w:p>
    <w:p>
      <w:r>
        <w:t>Die Koordinationsgrundsätze gemäss Art. 25a RPG erfordern eine Abstimmung des Rechtsmittel- und des Genehmigungsentscheids (Urteil des Bundesgerichts 1C_190/2007 vom 7. Dezember 2007 E. 2.2.2.2 mit Hinweisen). Auf welche Weise diese Koordination hergestellt wird, bleibt grundsätzlich den Kantonen überlassen ( Art. 25 Abs. 1 RPG ; Urteil 1P.222/2000 vom 22. November 2000, publ. in ZBl 102/2001 S. 383 ff. E. 3b mit Hinweisen). Der Genehmigungsentscheid muss jedoch spätestens im Rahmen des Verfahrens vor der letzten kantonalen Rechtsmittelinstanz eingeholt werden; die gebotene Koordination kann nicht erst vor Bundesgericht erfolgen (Entscheid 1C_190/2007 vom 7. Dezember 2007 E. 2.2.2.2 und 2.2.3 mit Hinweisen).</w:t>
      </w:r>
    </w:p>
    <w:p>
      <w:r>
        <w:rPr>
          <w:b/>
        </w:rPr>
        <w:t>E. 2.3</w:t>
      </w:r>
    </w:p>
    <w:p>
      <w:r>
        <w:t>Genehmigungsbedürftige Erlasse und Verfügungen werden nach § 5 Abs. 1 PBG von der Genehmigungsbehörde auf Rechtmässigkeit, Zweckmässigkeit und Angemessenheit überprüft. Die Genehmigung hat rechtsbegründende Wirkung ( § 5 Abs. 2 PBG ). Im Unterschied zu den Rechtsmittelinstanzen, welche sich auf umstrittene Teile des bei ihnen angefochtenen Nutzungsplans zu konzentrieren haben, erfolgt im kantonalen Genehmigungsverfahren eine ganzheitliche Überprüfung des gesamten zu genehmigenden Plans. Würde das Bundesgericht vor der kantonalen Plangenehmigung über einzelne umstrittene Teile des Nutzungsplans entscheiden, so läge in der Regel ein unzulässiger Eingriff in die von grosser Autonomie geprägte Aufgabe der kantonalen Genehmigungs- und Rechtsmittelbehörden vor (vgl. Art. 75 BV ). Von gewissen Ausnahmen abgesehen, darf es sich daher mit einem Planungsentscheid einer letzten kantonalen Instanz nur befassen, wenn diesem ein genehmigter Nutzungsplan zu Grunde liegt. Eine Ausnahme davon wurde bei einem mit Rechtsverweigerungsbeschwerde angefochtenen letztinstanzlichen kantonalen Entscheid angenommen, in welchem die Legitimation betroffener Grundeigentümer verneint worden war (Urteil des Bundesgerichts 1C_39/2008 vom 28. August 2008 E. 1.2).</w:t>
      </w:r>
    </w:p>
    <w:p>
      <w:r>
        <w:rPr>
          <w:b/>
        </w:rPr>
        <w:t>E. 2.4</w:t>
      </w:r>
    </w:p>
    <w:p>
      <w:r>
        <w:t>Gemäss § 329 Abs. 4 PBG veranlasst das Verwaltungsgericht vor der Behandlung von Beschwerden gegen "Entscheide über Bau- und Zonenordnungen, Sonderbauvorschriften, Gestaltungspläne oder Erschliessungspläne" die Baudirektion, für den Genehmigungsentscheid zu sorgen. Dass in dieser Bestimmung die Baulinienpläne nicht aufgeführt sind, ändert nichts daran, dass nach der Rechtsprechung des Bundesgerichts zu den Art. 25a und 26 RPG in Verbindung mit den Art. 90 ff. BGG die Koordination von Genehmigungs- und Rechtsmittelentscheid gestützt auf Bundesrecht für alle Nutzungspläne, mit Einschluss der Baulinienpläne, spätestens im Verfahren vor der letzten kantonalen Rechtsmittelinstanz erfolgen muss (Urteile des Bundesgerichts 1C_39/2008 vom 28. August 2008 E. 1.1.3 und 1C_190/2007 vom 7. Dezember 2007 E. 2.2, je mit Hinweisen). Ist die Koordination nicht schon in einem früheren Verfahrensstadium erfolgt, muss deshalb das Verwaltungsgericht den Genehmigungsentscheid einholen, sei es analog zu § 329 Abs. 4 PBG , sei es in unmittelbarer Anwendung von § 25a RPG . Die Vorschriften von § 5 Abs. 1 PBG in Verbindung mit Art. 26 Abs. 3 RPG verpflichten die kantonale Genehmigungsinstanz bei Rechtswidrigkeit, Unzweckmässigkeit und Unangemessenheit im Genehmigungsentscheid die rechtlich gebotenen Anordnungen treffen. Diese müssen von der letzten kantonalen Instanz überprüft werden können. Da die Genehmigung nach § 5 Abs. 2 PBG in Verbindung mit Art. 26 Abs. 3 RPG rechtsbegründende Wirkung entfaltet, liegt vor ihrer Erteilung kein vor Bundesgericht anfechtbarer Entscheid vor (Art. 82 lit. a in Verbindung mit Art. 86 Abs. 1 lit. d und Art. 90 ff. BGG ).</w:t>
      </w:r>
    </w:p>
    <w:p>
      <w:r>
        <w:t>Soweit die Stadt Zürich in ihrem Schreiben vom 17. Oktober 2008 darauf hinweist, dass die heute zur Genehmigung zuständige Volkswirtschaftsdirektion jede Baulinienvorlage vor der Festsetzung durch den Gemeinderat prüfe und dazu Stellung nehme, ist zu beachten, dass die vorgängige Prüfung durch die Genehmigungsbehörde zwar die Koordination erleichtert, indessen nicht den Genehmigungsentscheid nach § 5 Abs. 2 PBG und Art. 26 Abs. 3 RPG zu ersetzen vermag. Auch der Hinweis der Stadt Zürich auf das Urteil des Bundesgerichts 1C_50/2008 vom 10. Juni 2008 führt zu keinem anderen Ergebnis. Die Frage des Zwischenentscheids wurde in diesem Urteil nicht erörtert, weil darin unter anderem die Frage der Tragweite der kantonalen Baulinien im Verhältnis zum Nationalstrassenrecht des Bundes zu prüfen war. Dem Urteil kommt somit keine präjudizielle Bedeutung für die vorliegende Angelegenheit zu.</w:t>
      </w:r>
    </w:p>
    <w:p>
      <w:r>
        <w:rPr>
          <w:b/>
        </w:rPr>
        <w:t>E. 3</w:t>
      </w:r>
    </w:p>
    <w:p>
      <w:r>
        <w:t>Es ergibt sich, dass auf die vorliegende Beschwerde nicht eingetreten werden kann, weil die für die Verbindlichkeit eines Nutzungsplans erforderliche Genehmigung im Sinne von Art. 26 Abs. 3 RPG und § 109 PBG i.V.m. den § § 2 und 5 PBG fehlt. Damit liegt noch kein letztinstanzlicher kantonaler Endentscheid über die Nutzungsplanung vor, welcher die Rechte und Pflichten der betroffenen Personen verbindlich regelt. Das Bundesgericht tritt auf Beschwerden gegen Nutzungsplaninhalte grundsätzlich nur ein, wenn die erforderliche kantonale Genehmigung vorliegt. Dass dies mitunter dazu führen kann, dass genehmigte Nutzungspläne auf Grund von späteren Rechtsmittelentscheiden im Rahmen eines weiteren Planfestsetzungsverfahrens wieder geändert werden müssen, vermag an dieser Beurteilung nichts zu ändern.</w:t>
      </w:r>
    </w:p>
    <w:p>
      <w:r>
        <w:rPr>
          <w:b/>
        </w:rPr>
        <w:t>E. 4</w:t>
      </w:r>
    </w:p>
    <w:p>
      <w:r>
        <w:t>Unter Berücksichtigung der Umstände der vorliegenden Angelegenheit erscheint es gerechtfertigt, auf die Erhebung von Gerichtskosten zu verzichten ( Art. 66 Abs. 1 BGG ). Die Stadt Zürich hat den Beschwerdeführern eine angemessene Parteientschädigung zu entrichten ( Art. 68 Abs. 2 BGG ). Dabei ist zu berücksichtigen, dass sich die Beschwerdeführer nicht zu der für das vorliegende Verfahren entscheidenden Eintretensfrage geäussert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