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1C_211/2026 vom 5. Mai 2026</w:t>
      </w:r>
    </w:p>
    <w:p>
      <w:r>
        <w:t>Bundesgericht, 2026-05-05, DE</w:t>
      </w:r>
    </w:p>
    <w:p>
      <w:r>
        <w:rPr>
          <w:b/>
        </w:rPr>
        <w:t xml:space="preserve">Quelle: </w:t>
      </w:r>
      <w:r>
        <w:t>https://mcp.opencaselaw.ch/entscheid/bger_1C_211_2026</w:t>
      </w:r>
    </w:p>
    <w:p>
      <w:r>
        <w:t>FR: TF 1C_211/2026 du 5 mai 2026</w:t>
      </w:r>
    </w:p>
    <w:p>
      <w:r>
        <w:t>IT: TF 1C_211/2026 del 5 maggio 2026</w:t>
      </w:r>
    </w:p>
    <w:p>
      <w:pPr>
        <w:pStyle w:val="Heading2"/>
      </w:pPr>
      <w:r>
        <w:t>Erwägungen</w:t>
      </w:r>
    </w:p>
    <w:p>
      <w:r>
        <w:rPr>
          <w:b/>
        </w:rPr>
        <w:t>E. 1</w:t>
      </w:r>
    </w:p>
    <w:p>
      <w:r>
        <w:t>Am 28. Mai 2024 erliess der Stadtrat der Stadt St. Gallen für das Gebiet "Bitzi" in der Stadt St. Gallen die Zonensignalisation "Begegnungszone". Gegen die am 3. Juni 2024 veröffentlichte Verkehrsanordnung gelangte A.________ an das Sicherheits- und Justizdepartement des Kantons St. Gallen. Mit Entscheid vom 8. September 2025 hiess das Departement den Rekurs gut, hob den Beschluss des Stadtrats vom 28. Mai 2024 auf und wies die Sache zur umfassenden Verhältnismässigkeitsprüfung und zu neuem Entscheid an den Stadtrat zurück.</w:t>
      </w:r>
    </w:p>
    <w:p>
      <w:r>
        <w:rPr>
          <w:b/>
        </w:rPr>
        <w:t>E. 2</w:t>
      </w:r>
    </w:p>
    <w:p>
      <w:r>
        <w:t>Gegen den Entscheid des Departements erhob die Politische Gemeinde St. Gallen Beschwerde beim Verwaltungsgericht des Kantons St. Gallen. Mit Entscheid vom 9. März 2026 wies das Verwaltungsgericht die Beschwerde ab.</w:t>
      </w:r>
    </w:p>
    <w:p>
      <w:r>
        <w:rPr>
          <w:b/>
        </w:rPr>
        <w:t>E. 3</w:t>
      </w:r>
    </w:p>
    <w:p>
      <w:r>
        <w:t>Mit Eingabe vom 21. April 2026 erhebt die Politische Gemeinde St. Gallen beim Bundesgericht Beschwerde in öffentlich-rechtlichen Angelegenheiten gegen den Entscheid des Verwaltungsgerichts. Sie beantragt, diesen Entscheid und denjenigen des Departements aufzuheben bzw. eventualiter den Entscheid des Verwaltungsgerichts aufzuheben und die Sache zur Neubeurteilung an dieses zurückzuweisen.</w:t>
      </w:r>
    </w:p>
    <w:p>
      <w:r>
        <w:t>Das Bundesgericht hat die Vorakten eingeholt. Es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in einer Angelegenheit des öffentlichen Rechts (vgl. Art. 82 lit. a, Art. 86 Abs. 1 lit. d und Abs. 2 BGG ); ein Ausschlussgrund gemäss Art. 83 BGG liegt nicht vor.</w:t>
      </w:r>
    </w:p>
    <w:p>
      <w:r>
        <w:rPr>
          <w:b/>
        </w:rPr>
        <w:t>E. 4.2</w:t>
      </w:r>
    </w:p>
    <w:p>
      <w:r>
        <w:t>Mit dem angefochtenen Entscheid hat die Vorinstanz die Beschwerde der Beschwerdeführerin gegen den Rückweisungsentscheid des Sicherheits- und Justizdepartement vom 8. September 2025 abgewiesen. Der Rückweisungsentscheid des Departements schliesst das Verfahren betreffend die fragliche Verkehrsanordnung nicht ab. Es handelt sich um einen anderen selbständig eröffneten Zwischenentscheid im Sinne von Art. 93 Abs. 1 BGG (vgl. BGE 142 II 20 E. 1.2; Urteil 1C_64/2023 vom 9. November 2023 E. 1.3). Daran ändert nichts, dass das Bundesgericht Rückweisungsentscheide ausnahmsweise wie Endentscheide behandelt, wenn die Rückweisung allein der Umsetzung des oberinstanzlich Angeordneten dient und der unteren Instanz, an die zurückgewiesen wird, kein Entscheidungsspielraum mehr verbleibt (vgl. BGE 149 II 170 E. 1.9; 142 II 20 E. 1.2: Urteil 1C_64/2023 vom 9. November 2023 E. 1.3), liegt ein solcher Fall hier doch nicht vor. Der hinsichtlich des Rückweisungsentscheids des Departements ergangene Entscheid der Vorinstanz ist entgegen der Ansicht der Beschwerdeführerin ebenfalls ein Zwischenentscheid gemäss Art. 93 Abs. 1 BGG (vgl. BGE 142 III 653 E. 1.1; 139 V 604 E. 2.1, 339 E. 3.2).</w:t>
      </w:r>
    </w:p>
    <w:p>
      <w:r>
        <w:rPr>
          <w:b/>
        </w:rPr>
        <w:t>E. 4.3</w:t>
      </w:r>
    </w:p>
    <w:p>
      <w:r>
        <w:t>Nach Art. 93 Abs. 1 BGG ist die Beschwerde gegen andere selbständig eröffnete Zwischenentscheide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Partei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t>Die Beschwerdeführerin äussert sich in ihrer Beschwerde an das Bundesgericht nicht zu den Voraussetzungen von Art. 93 Abs. 1 BGG . Dass ihr durch den angefochtenen Entscheid ein nicht wieder gutzumachender Nachteil im Sinne von Art. 93 Abs. 1 lit. a BGG drohen würde, ergibt sich aus ihren Vorbringen nicht und liegt nicht auf der Hand. Die Gutheissung der Beschwerde würde sodann zwar einen sofortigen Endentscheid herbeiführen. Inwiefern dadurch ein Aufwand im Sinne von Art. 93 Abs. 1 lit. b BGG vermieden würde, ergibt sich aus den Ausführungen der Beschwerdeführerin jedoch ebenfalls nicht und ist auch nicht offensichtlich, zumal der vermeidbare Aufwand nach dieser Bestimmung deutlich überdurchschnittlich erscheinen muss (vgl. Urteile 1C_572/2021 vom 6. Januar 2022 E. 2.2; 1C_440/2016 vom 30. Juni 2017 E. 1.5; 1C_88/2015 vom 28. April 2015 E. 3.1). Damit erweist sich die Beschwerde als offensichtlich unzulässig, weshalb ohne Prüfung der weiteren Eintretensvoraussetzungen im vereinfachten Verfahren nach Art. 108 Abs. 1 BGG auf sie nicht einzutreten ist.</w:t>
      </w:r>
    </w:p>
    <w:p>
      <w:r>
        <w:rPr>
          <w:b/>
        </w:rPr>
        <w:t>E. 5</w:t>
      </w:r>
    </w:p>
    <w:p>
      <w:r>
        <w:t>Der unterliegenden Beschwerdeführerin sind keine Kosten aufzuerlegen ( Art. 66 Abs. 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