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1C_211/2024 vom 23. April 2024</w:t>
      </w:r>
    </w:p>
    <w:p>
      <w:r>
        <w:t>Bundesgericht, 2024-04-23, FR</w:t>
      </w:r>
    </w:p>
    <w:p>
      <w:r>
        <w:rPr>
          <w:b/>
        </w:rPr>
        <w:t xml:space="preserve">Quelle: </w:t>
      </w:r>
      <w:r>
        <w:t>https://mcp.opencaselaw.ch/entscheid/bger_1C_211_2024</w:t>
      </w:r>
    </w:p>
    <w:p>
      <w:r>
        <w:t>FR: TF 1C_211/2024 du 23 avril 2024</w:t>
      </w:r>
    </w:p>
    <w:p>
      <w:r>
        <w:t>IT: TF 1C_211/2024 del 23 aprile 2024</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La voie du recours en matière de droit public est en principe ouverte, la décision attaquée ayant été rendue dans une cause de droit public ( art. 82 let. a LTF ).</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1.2</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Tel n'est pas le cas en l'occurrence puisque la cause est renvoyée à la municipalité de Lutry "pour nouvelle décision sur la demande de permis de construire, au sens des considérants". Si l'autorisation spéciale de la DGE est définitivement délivrée, l'autorité communale ne se voit pas enjointe de délivrer le permis de construire; la cour cantonale considère au contraire qu'elle dispose d'une latitude de jugement suffisante pour lui permettre de statuer à nouveau "en fonction d'une synthèse CAMAC positive". Le litige ne porte pas non plus sur un projet de grande ampleur et les questions qui restent à trancher selon l'arrêt de renvoi ne revêtent pas une importance de principe telle qu'elle justifierait d'entrer en matière sur le recours nonobstant son caractère incident ( ATF 142 II 20 consid. 1.4).</w:t>
      </w:r>
    </w:p>
    <w:p>
      <w:r>
        <w:rPr>
          <w:b/>
        </w:rPr>
        <w:t>E. 1.3</w:t>
      </w:r>
    </w:p>
    <w:p>
      <w:r>
        <w:t>Il y a donc lieu d'examiner si les conditions alternatives de l' art. 93 al. 1 let. a et b LTF sont réalisées. Les recourantes, a qui le caractère incident de l'arrêt attaqué a manifestement échappé, ne s'expriment pas sur cette question alors qu'il leur revenait de le faire ( ATF 149 II 476 consid 1.2.1; 148 I 155 consid. 1.1 in fine).</w:t>
      </w:r>
    </w:p>
    <w:p>
      <w:r>
        <w:t>A l'exception de quelques situations particulières non réalisées en l'espèce (cf. ATF 136 II 165 consid. 1.2; 135 II 30 consid. 1.3.4), le préjudice irréparable visé à l' art. 93 al. 1 let. a LTF doit être de nature juridique et ne pas pouvoir être ultérieurement réparé par une décision finale qui serait favorable à la partie recourante (cf. ATF 149 II 170 consid. 1.3; 147 III 159 consid. 4.1). En l'occurrence, la nouvelle décision municipale pourra encore être contestée, le cas échéant, auprès de la CDAP puis, en dernier ressort, auprès du Tribunal fédéral, l'arrêt incident pouvant également être attaqué à cette occasion aux conditions de l' art. 93 al. 3 LTF . L'admission du recours, à l'un ou l'autre stade, mettrait fin au préjudice inhérent à l'arrêt incident de renvoi. Les coûts relatifs à l'allongement de la procédure ne constituent pas un préjudice irréparable au sens de l' art. 93 al. 1 let. a LTF .</w:t>
      </w:r>
    </w:p>
    <w:p>
      <w:r>
        <w:t>Il n'apparaît pas non plus que la condition prévue à l' art. 93 al. 1 let. b LTF soit réalisée puisque rien ne permet d'admettre que la procédure de permis de construire, voire une procédure ultérieure de recours, soit particulièrement longue et coûteuse dans la mesure notamment où le dossier soumis à la municipalité apparaît désormais complet.</w:t>
      </w:r>
    </w:p>
    <w:p>
      <w:r>
        <w:rPr>
          <w:b/>
        </w:rPr>
        <w:t>E. 2</w:t>
      </w:r>
    </w:p>
    <w:p>
      <w:r>
        <w:t>Il s'ensuit que l'arrêt entrepris ne peut pas faire l'objet d'un recours immédiat au Tribunal fédéral. Le recours doit par conséquent être déclaré irrecevable selon la procédure simplifiée prévue par l' art. 109 al. 2 let. a LTF , aux frais des recourantes qui succombent ( art. 65 et 66 al. 1 et 4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