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211/2023 vom 25. Mai 2023</w:t>
      </w:r>
    </w:p>
    <w:p>
      <w:r>
        <w:t>Bundesgericht, 2023-05-25, DE</w:t>
      </w:r>
    </w:p>
    <w:p>
      <w:r>
        <w:rPr>
          <w:b/>
        </w:rPr>
        <w:t xml:space="preserve">Quelle: </w:t>
      </w:r>
      <w:r>
        <w:t>https://mcp.opencaselaw.ch/entscheid/bger_1C_211_2023</w:t>
      </w:r>
    </w:p>
    <w:p>
      <w:r>
        <w:t>FR: TF 1C 211/2023 du 25 mai 2023</w:t>
      </w:r>
    </w:p>
    <w:p>
      <w:r>
        <w:t>IT: TF 1C 211/2023 del 25 maggio 2023</w:t>
      </w:r>
    </w:p>
    <w:p>
      <w:pPr>
        <w:pStyle w:val="Heading2"/>
      </w:pPr>
      <w:r>
        <w:t>Regeste</w:t>
      </w:r>
    </w:p>
    <w:p>
      <w:r>
        <w:t>Opferhilfe | Strafprozess</w:t>
      </w:r>
    </w:p>
    <w:p>
      <w:pPr>
        <w:pStyle w:val="Heading2"/>
      </w:pPr>
      <w:r>
        <w:t>Erwägungen</w:t>
      </w:r>
    </w:p>
    <w:p>
      <w:r>
        <w:rPr>
          <w:b/>
        </w:rPr>
        <w:t>E. 1</w:t>
      </w:r>
    </w:p>
    <w:p>
      <w:r>
        <w:t>A.________ stellte am 30. März 2022 bei der Kantonalen Opferhilfestelle des Kantons Zürich ein Opferhilfegesuch mit der Begründung, er sei am 11. März 2022 vor dem Nachtclub B.________ in Zürich von mehreren Personen grundlos angegriffen und verletzt worden. Die Opferhilfestelle zog die Akten der Stadtpolizei zum Vorfall bei und wies das Gesuch am 17. Mai 2022 ab. Das Sozialversicherungsgericht des Kantons Zürich wies die Beschwerde von A.________ gegen diese Verfügung der Opferhilfestelle am 20. März 2023 ab. Es bestehe nach den Akten keine überwiegende Wahrscheinlichkeit, dass er von Dritten durch im Sinne von Art. 123 Abs. 1 StGB strafbare Handlungen verletzt worden sei, weshalb ihm die Opfereigenschaft abgehe. Mit zwei Eingaben vom 5. Mai 2023 erhebt A.________ Beschwerde mit dem sinngemässen Antrag, dieses Urteil des Sozialversicherungsgerichts aufzuheben und ihm Opferhilfe zu gewähren.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Beschwerdeführer setzt sich mit dem angefochtenen Entscheid nicht sachgerecht auseinander und legt nicht dar, weshalb dieser bundesrechtswidrig sein soll. Das ist auch nicht ersichtlich. Auf die Beschwerde ist wegen Verletzung der gesetzlichen Begründungspflicht nicht einzutreten, wobei auf die Erhebung von Gerichtskosten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