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1C_211/2022 vom 20. April 2022</w:t>
      </w:r>
    </w:p>
    <w:p>
      <w:r>
        <w:t>Bundesgericht, 2022-04-20, DE</w:t>
      </w:r>
    </w:p>
    <w:p>
      <w:r>
        <w:rPr>
          <w:b/>
        </w:rPr>
        <w:t xml:space="preserve">Quelle: </w:t>
      </w:r>
      <w:r>
        <w:t>https://mcp.opencaselaw.ch/entscheid/bger_1C_211_2022</w:t>
      </w:r>
    </w:p>
    <w:p>
      <w:r>
        <w:t>FR: TF 1C_211/2022 du 20 avril 2022</w:t>
      </w:r>
    </w:p>
    <w:p>
      <w:r>
        <w:t>IT: TF 1C_211/2022 del 20 aprile 2022</w:t>
      </w:r>
    </w:p>
    <w:p>
      <w:pPr>
        <w:pStyle w:val="Heading2"/>
      </w:pPr>
      <w:r>
        <w:t>Erwägungen</w:t>
      </w:r>
    </w:p>
    <w:p>
      <w:r>
        <w:rPr>
          <w:b/>
        </w:rPr>
        <w:t>E. 1</w:t>
      </w:r>
    </w:p>
    <w:p>
      <w:r>
        <w:t>A.________ erhob am 27. Dezember 2021 bei der Bundesanwaltschaft Strafanzeige gegen Martin Kaufmann. Die Strafanzeige steht im Zusammenhang mit der früheren Funktion des Angezeigten als Kreisrichter bzw. Kreisgerichtspräsident am Kreisgericht See-Gaster.</w:t>
      </w:r>
    </w:p>
    <w:p>
      <w:r>
        <w:t>Die Bundesanwaltschaft leitete die Strafanzeige am 11. Februar 2022 zuständigkeitshalber an das Kantonale Untersuchungsamt des Kantons St. Gallen weiter. Am 14. Februar 2022 übermittelte das Untersuchungsamt die Strafanzeige der Anklagekammer des Kantons St. Gallen zur Durchführung des Ermächtigungsverfahrens. Mit Zirkulationsentscheid vom 23. Februar 2022 erteilte die Anklagekammer keine Ermächtigung zur Eröffnung eines Strafverfahrens. Zur Begründung führte sie zusammenfassend aus, dass sich aus den Ausführungen des Anzeigers nicht ansatzweise ein strafrechtlich allenfalls relevanter Sachverhalt ergebe.</w:t>
      </w:r>
    </w:p>
    <w:p>
      <w:r>
        <w:rPr>
          <w:b/>
        </w:rPr>
        <w:t>E. 2</w:t>
      </w:r>
    </w:p>
    <w:p>
      <w:r>
        <w:t>A.________ führt mit Eingabe vom 11. April 2022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unterlässt eine Auseinandersetzung mit der Begründung der Anklagekammer, die zur Verweigerung der Ermächtigung führte. Aus seinen Ausführungen ergibt sich nicht, inwiefern die Begründung der Anklagekammer bzw. deren Entscheid selbst rechts- bzw. verfassungswidrig sein. Die Beschwerde genügt den gesetzlichen Formerfordernissen offensichtlich nicht, weshalb auf sie im vereinfachten Verfahren nach Art. 108 Abs. 1 BGG nicht einzutreten ist.</w:t>
      </w:r>
    </w:p>
    <w:p>
      <w:r>
        <w:rPr>
          <w:b/>
        </w:rPr>
        <w:t>E. 4</w:t>
      </w:r>
    </w:p>
    <w:p>
      <w:r>
        <w:t>Ausnahmsweise kann a 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