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1C_211/2017 vom 28. April 2017</w:t>
      </w:r>
    </w:p>
    <w:p>
      <w:r>
        <w:t>Bundesgericht, 2017-04-28, DE</w:t>
      </w:r>
    </w:p>
    <w:p>
      <w:r>
        <w:rPr>
          <w:b/>
        </w:rPr>
        <w:t xml:space="preserve">Quelle: </w:t>
      </w:r>
      <w:r>
        <w:t>https://mcp.opencaselaw.ch/entscheid/bger_1C_211_2017</w:t>
      </w:r>
    </w:p>
    <w:p>
      <w:r>
        <w:t>FR: TF 1C_211/2017 du 28 avril 2017</w:t>
      </w:r>
    </w:p>
    <w:p>
      <w:r>
        <w:t>IT: TF 1C_211/2017 del 28 aprile 2017</w:t>
      </w:r>
    </w:p>
    <w:p>
      <w:pPr>
        <w:pStyle w:val="Heading2"/>
      </w:pPr>
      <w:r>
        <w:t>Erwägungen</w:t>
      </w:r>
    </w:p>
    <w:p>
      <w:r>
        <w:rPr>
          <w:b/>
        </w:rPr>
        <w:t>E. 1</w:t>
      </w:r>
    </w:p>
    <w:p>
      <w:r>
        <w:t>Das Strassenverkehrs- und Schifffahrtsamt des Kantons Bern entzog A.________ mit Verfügung vom 24. März 2017 den Führerausweis für Motorfahrzeuge u.a. in Anwendung von Art. 15d Abs. 1 lit. a SVG sowie Art. 30 VZV bis zur Abklärung der Fahreignung vorsorglich. Gleichzeitig ordnete das Strassenverkehrs- und Schifffahrtsamt eine Fahreignungsuntersuchung an und entzog einer allfälligen Beschwerde die aufschiebende Wirkung. A.________ wird vorgeworfen, am 15. Februar 2017 in Meinisberg einen Personenwagen in angetrunkenem Zustand (Atemalkoholgehalt von 0,91 mg/l bzw. Blutalkoholkonzentration von 1,82 Gew. o/oo) geführt und dabei einen Selbstunfall verursacht zu haben.</w:t>
      </w:r>
    </w:p>
    <w:p>
      <w:r>
        <w:t>A.________ erhob gegen diese Verfügung mit Schreiben vom 5. April 2017 Beschwerde. Die Rekurskommission des Kantons Bern für Massnahmen gegenüber Fahrzeugführerinnen und Fahrzeugführern bestätigte mit Verfügung vom 10. April 2017 den vorsorglich verfügten Entzug des Führerausweises sowie die Anordnung der Fahreignungsuntersuchung. Zur Begründung führte die Rekurskommission zusammenfassend aus, dass aufgrund der festgestellten Blutalkoholkonzentration des Beschwerdeführers eine Fahreignungsuntersuchung gemäss Art. 15d Abs. 1 lit. a SVG zwingend geboten sei. Der Beschwerdeführer erfülle von Gesetzes wegen den Verdacht einer seine Fahreignung ausschliessenden Trunksucht.</w:t>
      </w:r>
    </w:p>
    <w:p>
      <w:r>
        <w:rPr>
          <w:b/>
        </w:rPr>
        <w:t>E. 2</w:t>
      </w:r>
    </w:p>
    <w:p>
      <w:r>
        <w:t>A.________ führt mit Eingabe vom 12. April 2017 Beschwerde in öffentlich-rechtlichen Angelegenheiten gegen die Verfügung der Rekurskommission des Kantons Bern für Massnahmen gegenüber Fahrzeugführerinnen und Fahrzeugführern.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keinen zulässigen Beschwerdegrund nennt, setzt sich mit seiner appellatorischen Kritik nicht mit der Begründung der Rekurskommission auseinander, die zur Abweisung der Beschwerde führte. Aus seinen Ausführungen ergibt sich nicht, inwiefern die Begründung der Rekurskommission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