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1C_210/2019 vom 16. April 2019</w:t>
      </w:r>
    </w:p>
    <w:p>
      <w:r>
        <w:t>Bundesgericht, 2019-04-16, DE</w:t>
      </w:r>
    </w:p>
    <w:p>
      <w:r>
        <w:rPr>
          <w:b/>
        </w:rPr>
        <w:t xml:space="preserve">Quelle: </w:t>
      </w:r>
      <w:r>
        <w:t>https://mcp.opencaselaw.ch/entscheid/bger_1C_210_2019</w:t>
      </w:r>
    </w:p>
    <w:p>
      <w:r>
        <w:t>FR: TF 1C_210/2019 du 16 avril 2019</w:t>
      </w:r>
    </w:p>
    <w:p>
      <w:r>
        <w:t>IT: TF 1C_210/2019 del 16 aprile 2019</w:t>
      </w:r>
    </w:p>
    <w:p>
      <w:pPr>
        <w:pStyle w:val="Heading2"/>
      </w:pPr>
      <w:r>
        <w:t>Erwägungen</w:t>
      </w:r>
    </w:p>
    <w:p>
      <w:r>
        <w:rPr>
          <w:b/>
        </w:rPr>
        <w:t>E. 1</w:t>
      </w:r>
    </w:p>
    <w:p>
      <w:r>
        <w:t>A.________ erstattete am 18. Dezember 2018 beim Untersuchungsamt Uznach Strafanzeige gegen die Regionalstellenleiterin des Konkursamtes Rapperswil-Jona, B.________, wegen "Hausfriedensbruchs, Missachtung der Freiheitsrechte insbesondere auf Eigentum (minimales Inventar als Existenzminimum) " etc. Diese Straftaten soll sie nach der Anzeige am 28. November 2018 bei Wohnungsräumungen im Konkursverfahen gegen ihn begangen haben. Am 1. März 2019 erteilte die Anklagekammer des Kantons St. Gallen die Ermächtigung zur Eröffnung eines Strafverfahrens gegen B.________ nicht.</w:t>
      </w:r>
    </w:p>
    <w:p>
      <w:r>
        <w:t>Mit Beschwerde vom 11. April 2019 beantragt A.________, B.________ angemessen zu bestrafen. Zudem sei ihm sämtliches Inventar zurückzugeben oder ein Schadenersatz von Fr. 62'000.-- zu leisten.</w:t>
      </w:r>
    </w:p>
    <w:p>
      <w:r>
        <w:t>Vernehmlassungen wurden keine eingeholt.</w:t>
      </w:r>
    </w:p>
    <w:p>
      <w:r>
        <w:rPr>
          <w:b/>
        </w:rPr>
        <w:t>E. 2.1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wegen strafbarer Handlungen, die deren Amtsführung betreffen. Mit dem angefochtenen Entscheid hat es die Anklagekammer abgelehnt, die Staatsanwaltschaft zur Strafverfolgung der Beschwerdegegnerin zu ermächtigen. Damit fehlt es an einer Prozessvoraussetzung für die Durchführung des Strafverfahrens, womit das Verfahren insoweit abgeschlossen ist. Angefochten ist damit ein Endentscheid ( Art. 90 BGG ) einer letzten kantonalen Instanz ( Art. 86 Abs. 1 lit. d BGG ), gegen den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w:t>
      </w:r>
    </w:p>
    <w:p>
      <w:r>
        <w:rPr>
          <w:b/>
        </w:rPr>
        <w:t>E. 2.2</w:t>
      </w:r>
    </w:p>
    <w:p>
      <w:r>
        <w:t>Die Anklagekammer hat die Ermächtigung zur Verfolgung nicht erteilt, weil sie keine Hinweise auf eine strafrechtliche Verfehlung der Beschwerdegegnerin finden konnte. Der Beschwerdeführer setzt sich mit dem angefochtenen Entscheid nicht sachgerecht auseinander. Aus seinen Ausführungen ergibt sich nicht, durch welche Handlungen sich die Beschwerdegegnerin entgegen der Auffassung der Anklagekammer konkret strafbar gemacht haben könnte, und das ist auch nicht ersichtlich. Er macht im Wesentlichen bloss geltend, sie habe Art. 7 BV und Art. 8 EMRK verletzt, indem sie ihm seine "Würde gestohlen" habe. Damit legt der Beschwerdeführer nicht in einer den gesetzlichen Anforderungen genügenden Weise dar, dass die Anklagekammer das Vorliegen eines Tatverdachts, der die Eröffnung eines Strafverfahrens gerechtfertigt hätte, zu Unrecht verneinte.</w:t>
      </w:r>
    </w:p>
    <w:p>
      <w:r>
        <w:rPr>
          <w:b/>
        </w:rPr>
        <w:t>E. 2.3</w:t>
      </w:r>
    </w:p>
    <w:p>
      <w:r>
        <w:t>Auf die Beschwerde ist somit wegen Verletzung der gesetzlichen Begründungspflicht nicht einzutreten, und zwar, weil der Mangel offensichtlich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