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1C_20/2021 vom 29. Januar 2021</w:t>
      </w:r>
    </w:p>
    <w:p>
      <w:r>
        <w:t>Bundesgericht, 2021-01-29, DE</w:t>
      </w:r>
    </w:p>
    <w:p>
      <w:r>
        <w:rPr>
          <w:b/>
        </w:rPr>
        <w:t xml:space="preserve">Quelle: </w:t>
      </w:r>
      <w:r>
        <w:t>https://mcp.opencaselaw.ch/entscheid/bger_1C_20_2021</w:t>
      </w:r>
    </w:p>
    <w:p>
      <w:r>
        <w:t>FR: TF 1C_20/2021 du 29 janvier 2021</w:t>
      </w:r>
    </w:p>
    <w:p>
      <w:r>
        <w:t>IT: TF 1C_20/2021 del 29 gennaio 2021</w:t>
      </w:r>
    </w:p>
    <w:p>
      <w:pPr>
        <w:pStyle w:val="Heading2"/>
      </w:pPr>
      <w:r>
        <w:t>Erwägungen</w:t>
      </w:r>
    </w:p>
    <w:p>
      <w:r>
        <w:rPr>
          <w:b/>
        </w:rPr>
        <w:t>E. 1</w:t>
      </w:r>
    </w:p>
    <w:p>
      <w:r>
        <w:t>Am 25. Mai 2020 erstattete A.________ bei der Staatsanwaltschaft Winterthur/Unterland Strafanzeige gegen die Gerichtsschreiberin Corinne Gurtner und den Bezirksrichter Michael Peterhans wegen Falschbeurkundung und Nötigung. Sie hätten in ihrer Verfügung vom 13. Mai 2020 betreffend arbeitsrechtliche Forderung einen völlig unwahren Sachverhalt beurkundet und versucht, ihn innert einer Frist von bloss vier Tagen zu einer Änderung seiner detaillierten Eingabe vom 21. April 2020 zu zwingen.</w:t>
      </w:r>
    </w:p>
    <w:p>
      <w:r>
        <w:t>Am 20. Juli 2020 überwies die Staatsanwaltschaft die Akten ans Obergericht des Kantons Zürich mit dem Antrag, über die Erteilung bzw. Nichterteilung der Ermächtigung zur Durchführung einer Strafuntersuchung zu entscheiden.</w:t>
      </w:r>
    </w:p>
    <w:p>
      <w:r>
        <w:t>Mit Beschluss vom 30. November 2020 erteilte das Obergericht der Staatsanwaltschaft die Ermächtigung zur Eröffnung eines Strafverfahrens gegen Corinne Gurtner und Michael Peterhans nicht.</w:t>
      </w:r>
    </w:p>
    <w:p>
      <w:r>
        <w:t>Mit Beschwerde vom 13. Januar 2021 beantragt A.________, diesen Entscheid aufzuheben und der Staatsanwaltschaft die Ermächtigung zur Eröffnung eines Strafverfahrens gegen Corinne Gurtner und Michael Peterhans zu erteilen. Ausserdem sei ihm für seinen Aufwand vor Obergericht und Bundesgericht eine angemessene Parteientschädigung zuzusprechen.</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Gerichtsschreiberin und des Bezirksrichters, beides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Gegenstand der Strafanzeige bildet die von Bezirksrichter Peterhans mit der Gerichtsschreiberin Gurtner erlassene Verfügung vom 13. Mai 2020, mit der sie eine vom Beschwerdeführer eingereichte Replik zur Verbesserung innert vier Tagen zurückwiesen, weil sie ungebührlich sowie mit 132 Seiten im Vergleich zur Klageschrift von 27 Seiten überaus weitschweifig und damit mangelhaft im Sinn von Art. 132 Abs. 2 ZPO sei. Das Obergericht hat im angefochtenen Entscheid dazu ausgeführt, es sei weder dargetan noch ersichtlich, inwiefern diese Verfügung die unrichtige Beurkundung einer rechtlich erheblichen Tatsache darstelle. Die Beschwerdegegner hätten die Verfügung in Ausübung ihrer Amtspflicht erlassen; ob sie materiell zutreffe oder nicht, sei im vorliegenden Verfahren irrelevant; selbst wenn sie durch eine höhere Instanz korrigiert würde, läge allenfalls eine unzutreffende Rechtsanwendung, aber kein strafbares Verhalten vor. Ebenfalls gebe es keinerlei Hinweise dafür, dass die Beschwerdegegner die freie Willensbildung bzw. -betätigung des Beschwerdeführers rechtswidrig beeinträchtigt und ihn dadurch genötigt hätten. Es fehle an einem Anfangsverdacht für eine strafbare Handlung.</w:t>
      </w:r>
    </w:p>
    <w:p>
      <w:r>
        <w:t>Der Beschwerdeführer setzt sich mit dem angefochtenen Entscheid nicht sachgerecht auseinander und bringt nichts vor, was die offensichtlich zutreffende Einschätzung des Obergerichts, die in der Strafanzeige erhobenen Vorwürfe seien von vornherein nicht geeignet, einen Anfangsverdacht für ein strafbares Verhalten der Beschwerdegegner zu begründen, in Frage zu stellen.</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