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1C_20/2017 vom 19. Januar 2017</w:t>
      </w:r>
    </w:p>
    <w:p>
      <w:r>
        <w:t>Bundesgericht, 2017-01-19, DE</w:t>
      </w:r>
    </w:p>
    <w:p>
      <w:r>
        <w:rPr>
          <w:b/>
        </w:rPr>
        <w:t xml:space="preserve">Quelle: </w:t>
      </w:r>
      <w:r>
        <w:t>https://mcp.opencaselaw.ch/entscheid/bger_1C_20_2017</w:t>
      </w:r>
    </w:p>
    <w:p>
      <w:r>
        <w:t>FR: TF 1C_20/2017 du 19 janvier 2017</w:t>
      </w:r>
    </w:p>
    <w:p>
      <w:r>
        <w:t>IT: TF 1C_20/2017 del 19 gennaio 2017</w:t>
      </w:r>
    </w:p>
    <w:p>
      <w:pPr>
        <w:pStyle w:val="Heading2"/>
      </w:pPr>
      <w:r>
        <w:t>Erwägungen</w:t>
      </w:r>
    </w:p>
    <w:p>
      <w:r>
        <w:rPr>
          <w:b/>
        </w:rPr>
        <w:t>E. 1.1</w:t>
      </w:r>
    </w:p>
    <w:p>
      <w:r>
        <w:t>Gemäss Art. 54 Abs. 1 BGG wird das bundesgerichtliche Verfahren in einer der Amtssprachen (Deutsch, Französisch, Italienisch, Rumantsch Grischun) geführt, in der Regel in der Sprache des angefochtenen Entscheids.</w:t>
      </w:r>
    </w:p>
    <w:p>
      <w:r>
        <w:t>Von dieser Regel abzuweichen besteht hier kein Grund. Das bundesgerichtliche Urteil ergeht deshalb in deutscher Sprache, auch wenn der Beschwerdeführer die Beschwerde in italienischer Sprache eingereicht hat.</w:t>
      </w:r>
    </w:p>
    <w:p>
      <w:r>
        <w:rPr>
          <w:b/>
        </w:rPr>
        <w:t>E. 1.2</w:t>
      </w:r>
    </w:p>
    <w:p>
      <w:r>
        <w:t>Gemäss Art. 48 BGG müssen Eingaben spätestens am letzten Tag der Frist beim Bundesgericht eingereicht oder zu dessen Handen der Schweizerischen Post (...) übergeben werden (Abs. 1). Die Frist gilt auch als gewahrt, wenn die Eingabe rechtzeitig bei der Vorinstanz oder bei einer unzuständigen eidgenössischen oder kantonalen Behörde eingereicht worden ist. Die Eingabe ist unverzüglich dem Bundesgericht zu übermitteln (Abs. 3).</w:t>
      </w:r>
    </w:p>
    <w:p>
      <w:r>
        <w:t>Der Beschwerdeführer nahm den angefochtenen Entscheid am 22. Dezember 2016 im Empfang. Er übergab die Beschwerde am 30. Dezember 2016 und damit innerhalb der Beschwerdefrist von 10 Tagen ( Art. 100 Abs. 2 lit. b BGG ) der Schweizerischen Post. Die Beschwerde ist demnach rechtzeitig.</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Der Beschwerdeführer legt nicht dar, weshalb hier ein besonders bedeutender Fall gegeben sein soll. Ob man annehmen kann, dass er das zumindest sinngemäss tut und die Beschwerde damit den Begründungsanforderungen von Art. 42 Abs. 2 BGG genügt, kann dahingestellt bleiben. Ein besonders bedeutender Fall ist jedenfalls zu verneinen.</w:t>
      </w:r>
    </w:p>
    <w:p>
      <w:r>
        <w:t>Der Beschwerdeführer beruft sich auf Art. 6 Ziff. 3 EMRK . Nach der bundesgerichtlichen Rechtsprechung sind die in dieser Bestimmung enthaltenen Verfahrensgarantien in der internationalen Rechtshilfe in Strafsachen nicht anwendbar ( BGE 139 II 404 E. 6 S. 419 f. mit Hinweisen). In der Sache rügt der Beschwerdeführer eine Verletzung seines Anspruchs auf rechtliches Gehör. Damit hat sich die Vorinstanz einlässlich auseinandergesetzt (angefochtener Entscheid E. 4 S. 6 ff.). Ihre Erwägungen, auf welche gemäss Art. 109 Abs. 3 BGG verwiesen werden kann, lassen keine Bundesrechtsverletzung erkennen. Rechtsfragen von grundsätzlicher Bedeutung stellen sich nicht. Auch sonst wie kommt der Angelegenheit keine aussergewöhnliche Tragweite zu. Für das Bundesgericht besteht deshalb kein Anlass, die Sache an die Hand zu nehmen.</w:t>
      </w:r>
    </w:p>
    <w:p>
      <w:r>
        <w:t>Die Beschwerde ist demnach unzulässig. Da sie aussichtslos war, fiel die sinngemäss beantragte Bestellung eines Anwalts gemäss Art. 64 Abs. 1 f. BGG ausser Betracht (vgl. BERNARD CORBOZ, in: Commentaire de la LTF, 2. Aufl. 2014, N. 51 zu Art. 64 BGG ).</w:t>
      </w:r>
    </w:p>
    <w:p>
      <w:r>
        <w:rPr>
          <w:b/>
        </w:rPr>
        <w:t>E. 3</w:t>
      </w:r>
    </w:p>
    <w:p>
      <w:r>
        <w:t>Unter den gegebenen Umständen - der Beschwerdeführer befindet sich in der Schweiz im Strafvollzug - rechtfertigt es sich,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