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1C_209/2020 vom 16. Oktober 2020</w:t>
      </w:r>
    </w:p>
    <w:p>
      <w:r>
        <w:t>Bundesgericht, 2020-10-16, FR</w:t>
      </w:r>
    </w:p>
    <w:p>
      <w:r>
        <w:rPr>
          <w:b/>
        </w:rPr>
        <w:t xml:space="preserve">Quelle: </w:t>
      </w:r>
      <w:r>
        <w:t>https://mcp.opencaselaw.ch/entscheid/bger_1C_209_2020</w:t>
      </w:r>
    </w:p>
    <w:p>
      <w:r>
        <w:t>FR: TF 1C_209/2020 du 16 octobre 2020</w:t>
      </w:r>
    </w:p>
    <w:p>
      <w:r>
        <w:t>IT: TF 1C_209/2020 del 16 ottobre 2020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 recourant a pris part à la procédure devant la Chambre administrative. En tant que destinataire du prononcé d'amende administrative, il est particulièrement touché par l'arrêt attaqué et peut ainsi se prévaloir d'un intérêt digne de protection à ce que la décision attaquée soit annulée. Il dispose ainsi de la qualité pour recourir au sens de l' art. 89 al. 1 LTF .</w:t>
      </w:r>
    </w:p>
    <w:p>
      <w:r>
        <w:rPr>
          <w:b/>
        </w:rPr>
        <w:t>E. 2</w:t>
      </w:r>
    </w:p>
    <w:p>
      <w:r>
        <w:t>Le recourant ne conteste pas l'amende qui lui a été infligée dans son principe, mais uniquement dans sa quotité. Il invoque à cet égard des violations du principe de la légalité ( art. 5 al. 1 Cst. ) et du principe de la proportionnalité ( art. 5 al. 2 Cst. ) ainsi qu'une application arbitraire de l'art. 137 al. 1 de la loi genevoise sur les constructions et les installations diverses du 14 avril 1988 (LCI; RS/GE L 5 05).</w:t>
      </w:r>
    </w:p>
    <w:p>
      <w:r>
        <w:rPr>
          <w:b/>
        </w:rPr>
        <w:t>E. 2.1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 ATF 131 II 13 consid. 6.5.1 p. 29 s.; arrêt 2C_134/2018 du 24 septembre 2018 consid. 4.1 et les références citées).</w:t>
      </w:r>
    </w:p>
    <w:p>
      <w:r>
        <w:t>Hormis en matière pénale et dans le domaine fiscal, le principe de la légalité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 ATF 146 II 56 consid. 6.2.1 p. 63; arrêt 1C_292/2019 du 12 mai 2020 consid. 4.1).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 ATF 134 I 153 consid. 4 p. 156 ss; arrêts 1C_557/2019 du 21 avril 2020 consid. 2.1; 2C_342/2019 du 11 octobre 2019 consid. 5.1; 2C_613/2017 du 16 avril 2018 consid. 3.2). Il en va de même s'agissant d'une violation du principe de la proportionnalité constatée dans le cadre de l'application du droit cantonal ( ATF 141 I 1 consid. 5.3.2 p. 7; arrêt 8C_392/2019 du 24 août 2020 consid. 4.3.2).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w:t>
      </w:r>
    </w:p>
    <w:p>
      <w:r>
        <w:rPr>
          <w:b/>
        </w:rPr>
        <w:t>E. 2.2</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ou encore modifier la configuration du terrain (let. d).</w:t>
      </w:r>
    </w:p>
    <w:p>
      <w:r>
        <w:t>Aux termes de l'art. 137 al. 1 LCI, est passible d'une amende administrative de 100 fr. à 150'000 fr. tout contrevenant à la LCI (let. a), aux règlements et aux arrêtés édictés en vertu de cette loi (let. b) ainsi qu'aux ordres donnés par le Département dans les limites de la LCI des règlements et arrêtés édictés en vertu de celle-ci (let. c). Le montant maximum de l'amende est de 20'000 fr.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rPr>
          <w:b/>
        </w:rPr>
        <w:t>E. 2.3</w:t>
      </w:r>
    </w:p>
    <w:p>
      <w:r>
        <w:t>Le recourant fait valoir que l'amende prononcée ne pouvait pas excéder la limite de 20'000 fr. prévue par l'art. 137 al. 2 LCI, dès lors que les constructions litigieuses avaient finalement été autorisées et donc reconnues comme conformes à la loi. Il en déduit que c'est d'une manière arbitraire que la cour cantonale a fait application du barème de l'art. 137 al. 1 LCI pour lui infliger une amende de 50'000 francs.</w:t>
      </w:r>
    </w:p>
    <w:p>
      <w:r>
        <w:rPr>
          <w:b/>
        </w:rPr>
        <w:t>E. 2.3.1</w:t>
      </w:r>
    </w:p>
    <w:p>
      <w:r>
        <w:t>S'il n'est certes pas contesté que les travaux litigieux avaient fait l'objet d'une autorisation de construire complémentaire délivrée le 20 juillet 2018 (DD 103'242/6), il ressort cependant de l'arrêt attaqué que cette autorisation n'avait été délivrée que sous conditions et moyennant une mise en conformité de travaux réalisés initialement en contravention à la législation cantonale.</w:t>
      </w:r>
    </w:p>
    <w:p>
      <w:r>
        <w:t>Il en va ainsi s'agissant des logements au rez-de-chaussée inférieur que le recourant avait exécutés, selon le préavis de la Direction des autorisations de construire (ci-après: la DAC) du 9 mars 2017, d'une manière contraire à l'art. 127 al. 1 LCI, cette disposition interdisant en particulier l'utilisation, pour l'habitation, de locaux dont le plancher est situé au-dessous du niveau général du sol adjacent. Alors que ces locaux avaient jusqu'alors été dévolus à un logement, l'autorisation de construire complémentaire du 20 juillet 2018 faisait ainsi expressément référence aux conditions fixées dans le second préavis établi le 10 avril 2018 par la DAC (cf. ch. 5), lequel disposait que ces locaux pouvaient "uniquement être loués comme chambres d'hôtes pour une courte durée" (cf. arrêt attaqué, consid. 4g p. 14). Il en est de même s'agissant des conditions posées par la Police du feu dans son préavis du 21 mars 2018, lesquelles devaient, aux termes de l'autorisation du 20 juillet 2018 (cf. ch. 5), être strictement respectées alors que, selon le préavis évoqué ci-avant, le "concept sécurité" et les plans avaient dû être adaptés en raison des travaux réalisés en sus du projet initialement approuvé en 2010 (cf. arrêt attaqué, ibidem). Pour sa part, la Commission des monuments, de la nature et des sites a relevé, dans son préavis défavorable du 12 avril 2017, que le projet tel qu'il avait été réalisé "n'aurait jamais été accepté si la procédure avait été suivie". Selon cette instance, l'excavation de la cour réduisait, de manière conséquente, la surface de la cour elle-même et créait des coursives qui n'avaient pas lieu d'être dans le contexte d'une cour intérieure de la vieille-ville de Genève, zone protégée en vertu des art. 83 ss LCI (cf. arrêt attaqué, consid. 4h p. 15).</w:t>
      </w:r>
    </w:p>
    <w:p>
      <w:r>
        <w:t>Il n'est nullement critiquable de considérer, au vu de ce qui précède, que les constructions litigieuses, certes finalement autorisées et tolérées en vertu du principe de la proportionnalité, n'étaient pas, à tout le moins au moment de leur réalisation, en tous points conformes à la législation cantonale, pas plus qu'elles ne respectaient alors les conditions posées ultérieurement par le Département dans le cadre de l'autorisation de construire complémentaire.</w:t>
      </w:r>
    </w:p>
    <w:p>
      <w:r>
        <w:t>De surcroît, le recourant ne conteste pas que la première autorisation délivrée en 2010 (DD 103'242) était caduque au moment de la réalisation des travaux sur lesquels cette autorisation initiale portait, faute pour le recourant de les avoir entrepris dans le délai de deux ans prévu par l'art. 4 al. 5 LCI. Ainsi, alors que le Département avait expressément précisé que l'autorisation de construire complémentaire (DD 103'242/6) n'avait pas pour effet de prolonger la validité de l'autorisation initiale (cf. ch. 4 du dispositif de l'autorisation du 20 juillet 2018), on comprend que l'amende litigieuse, également prononcée le 20 juillet 2018, était aussi susceptible de viser le comportement du recourant ayant consisté à laisser échoir le délai de l'art. 4 al. 5 LCI avant d'entreprendre les premiers travaux autorisés.</w:t>
      </w:r>
    </w:p>
    <w:p>
      <w:r>
        <w:t>Cela étant, on ne saurait reprocher à la cour cantonale d'avoir versé dans l'arbitraire en considérant qu'au moment d'infliger une amende au recourant, le Département n'était pas lié par la limite prévue par l'art. 137 al. 2 LCI, dont le texte suppose la réalisation de travaux conformes aux prescriptions légales.</w:t>
      </w:r>
    </w:p>
    <w:p>
      <w:r>
        <w:rPr>
          <w:b/>
        </w:rPr>
        <w:t>E. 2.3.2</w:t>
      </w:r>
    </w:p>
    <w:p>
      <w:r>
        <w:t>Pour le surplus, le recourant ne revient pas sur les critères pris en considération par la cour cantonale au moment de déterminer la quotité de l'amende litigieuse.</w:t>
      </w:r>
    </w:p>
    <w:p>
      <w:r>
        <w:t>Il suffit à cet égard de constater que celle-ci a été fixée en tenant compte, en application de l'art. 137 al. 3 LCI, de la gravité de l'infraction considérée, en particulier eu égard à l'envergure des travaux réalisés sans autorisation, s'agissant d'importantes modifications entreprises dans une zone historique protégée pour un coût considérable (2'200'000 fr.), qui justifiaient selon la cour cantonale d'être sanctionnées avec une grande sévérité sous peine de voir un tel procédé se répéter. Elle a également pris en compte que le recourant était un mandataire professionnellement qualifié, qui avait mis le Département devant le fait accompli, et elle s'est par ailleurs référée à des précédents jurisprudentiels cantonaux s'agissant du montant de l'amende administrative, notamment à une affaire portant sur des travaux ayant causé un danger à l'environnement (atteinte à la nappe phréatique), pour laquelle une amende de 75'000 fr. avait été infligée à une partie qui ne pouvait pour sa part pas justifier de la qualité de mandataire professionnellement qualifié (cf. arrêt ATA/978/2015 du 22 septembre 2015; cf. arrêt attaqué, consid. 4h p. 15 ss).</w:t>
      </w:r>
    </w:p>
    <w:p>
      <w:r>
        <w:t>On ne voit pas à cet égard que l'amende de 50'000 fr. infligée au recourant serait disproportionnée ou qu'elle résulterait d'une application arbitraire de l'art. 137 al. 1 et 3 LCI.</w:t>
      </w:r>
    </w:p>
    <w:p>
      <w:r>
        <w:rPr>
          <w:b/>
        </w:rPr>
        <w:t>E. 3</w:t>
      </w:r>
    </w:p>
    <w:p>
      <w:r>
        <w:t>Il s'ensuit que le recours doit être rejeté. Conformément à l' art. 66 al. 1 LTF , les frais judiciaires sont mis à la charge du recourant qui succombe. Le Département,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