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1C_209/2019 vom 10. April 2019</w:t>
      </w:r>
    </w:p>
    <w:p>
      <w:r>
        <w:t>Bundesgericht, 2019-04-10, DE</w:t>
      </w:r>
    </w:p>
    <w:p>
      <w:r>
        <w:rPr>
          <w:b/>
        </w:rPr>
        <w:t xml:space="preserve">Quelle: </w:t>
      </w:r>
      <w:r>
        <w:t>https://mcp.opencaselaw.ch/entscheid/bger_1C_209_2019</w:t>
      </w:r>
    </w:p>
    <w:p>
      <w:r>
        <w:t>FR: TF 1C_209/2019 du 10 avril 2019</w:t>
      </w:r>
    </w:p>
    <w:p>
      <w:r>
        <w:t>IT: TF 1C_209/2019 del 10 aprile 2019</w:t>
      </w:r>
    </w:p>
    <w:p>
      <w:pPr>
        <w:pStyle w:val="Heading2"/>
      </w:pPr>
      <w:r>
        <w:t>Erwägungen</w:t>
      </w:r>
    </w:p>
    <w:p>
      <w:r>
        <w:rPr>
          <w:b/>
        </w:rPr>
        <w:t>E. 1</w:t>
      </w:r>
    </w:p>
    <w:p>
      <w:r>
        <w:t>A.________ erhob beim Bundesverwaltungsgericht Beschwerde. Mit Zwischenverfügung vom 4. April 2019 forderte ihn das Bundesverwaltungsgericht gestützt auf Art. 63 Abs. 4 VwVG auf, bis am 25. April 2019 einen Kostenvorschuss von Fr. 800.-- zu leisten, ansonsten auf die Beschwerde unter Kostenfolge nicht eingetreten werde.</w:t>
      </w:r>
    </w:p>
    <w:p>
      <w:r>
        <w:rPr>
          <w:b/>
        </w:rPr>
        <w:t>E. 2</w:t>
      </w:r>
    </w:p>
    <w:p>
      <w:r>
        <w:t>Mit Eingabe vom 9. April 2019 führt A.________ Beschwerde in öffentlich-rechtlichen Angelegenheiten gegen die Zwischenverfügung des Bundesverwaltungsgerichts.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vermag nicht aufzuzeigen, dass das Bundesverwaltungsgericht bei der Aufforderung zur Leistung des Kostenvorschusses Art. 63 Abs. 4 VwVG rechtswidrig angewendet hätte. Soweit er mit seinen Ausführungen sinngemäss eine Verletzung seines Anspruchs auf unentgeltliche Rechtspflege geltend macht, behauptet er nicht, dass er im Verfahren vor dem Bundesverwaltungsgericht ein Gesuch um unentgeltliche Rechtspflege gestellt hätte. Weshalb sein Anspruch auf unentgeltliche Rechtspflege gleichwohl verletzt worden sein sollte, legt er nicht dar. Zusammenfassend ergibt sich aus der Beschwerde nicht, inwiefern die Zwischenverfügung des Bundesverwaltungsgerichts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