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209/2018 vom 9. Mai 2018</w:t>
      </w:r>
    </w:p>
    <w:p>
      <w:r>
        <w:t>Bundesgericht, 2018-05-09, FR</w:t>
      </w:r>
    </w:p>
    <w:p>
      <w:r>
        <w:rPr>
          <w:b/>
        </w:rPr>
        <w:t xml:space="preserve">Quelle: </w:t>
      </w:r>
      <w:r>
        <w:t>https://mcp.opencaselaw.ch/entscheid/bger_1C_209_2018</w:t>
      </w:r>
    </w:p>
    <w:p>
      <w:r>
        <w:t>FR: TF 1C 209/2018 du 9 mai 2018</w:t>
      </w:r>
    </w:p>
    <w:p>
      <w:r>
        <w:t>IT: TF 1C 209/2018 del 9 maggio 2018</w:t>
      </w:r>
    </w:p>
    <w:p>
      <w:pPr>
        <w:pStyle w:val="Heading2"/>
      </w:pPr>
      <w:r>
        <w:t>Regeste</w:t>
      </w:r>
    </w:p>
    <w:p>
      <w:r>
        <w:t>Entraide judiciaire internationale en matière pénale aux Etats-Unis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d'entraide et de la nature de la transmission envisagée, portant sur la documentation relative à un compte bancaire déterminé, le cas ne revêt en soi aucune importance particulière.</w:t>
      </w:r>
    </w:p>
    <w:p>
      <w:r>
        <w:rPr>
          <w:b/>
        </w:rPr>
        <w:t>E. 1.3</w:t>
      </w:r>
    </w:p>
    <w:p>
      <w:r>
        <w:t>La recourante estime que dans la mesure où les actes d'entraide la concernent, la condition de la double incrimination devrait être examinée en rapport avec les faits qui lui sont reprochés. Or, les faits évoqués à l'égard de son ayant droit ne seraient pas des infractions, comme l'a retenu la Cour des plaintes. La recourante méconnaît qu'à teneur de l' art. 64 al. 1 EIMP (cf. aussi art. 4 par. 2 TEJUS ), la condition de la double incrimination s'examine au seul regard de l'état de fait présenté dans la demande; lorsque cette condition est satisfaite, les mesures d'entraide peuvent s'étendre à des personnes qui n'ont pas nécessairement participé aux infractions décrites, sans que la condition de la double incrimination ne s'applique à leur égard. Il n'y a donc aucune question de principe à ce propos.</w:t>
      </w:r>
    </w:p>
    <w:p>
      <w:r>
        <w:rPr>
          <w:b/>
        </w:rPr>
        <w:t>E. 1.4</w:t>
      </w:r>
    </w:p>
    <w:p>
      <w:r>
        <w:t>Il en va de même de la violation alléguée du principe de la proportionnalité; dès lors que l'autorité requérante fait état de relations d'affaires entre les auteurs de l'infraction et l'ayant droit de la recourante, elle est légitimée à vouloir vérifier si les négociations en question ont ou non un rapport avec les infractions commises. L'utilité potentielle est manifeste.</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 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