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1C_208/2020 vom 24. Juli 2020</w:t>
      </w:r>
    </w:p>
    <w:p>
      <w:r>
        <w:t>Bundesgericht, 2020-07-24, FR</w:t>
      </w:r>
    </w:p>
    <w:p>
      <w:r>
        <w:rPr>
          <w:b/>
        </w:rPr>
        <w:t xml:space="preserve">Quelle: </w:t>
      </w:r>
      <w:r>
        <w:t>https://mcp.opencaselaw.ch/entscheid/bger_1C_208_2020</w:t>
      </w:r>
    </w:p>
    <w:p>
      <w:r>
        <w:t>FR: TF 1C_208/2020 du 24 juillet 2020</w:t>
      </w:r>
    </w:p>
    <w:p>
      <w:r>
        <w:t>IT: TF 1C_208/2020 del 24 luglio 2020</w:t>
      </w:r>
    </w:p>
    <w:p>
      <w:pPr>
        <w:pStyle w:val="Heading2"/>
      </w:pPr>
      <w:r>
        <w:t>Erwägungen</w:t>
      </w:r>
    </w:p>
    <w:p>
      <w:r>
        <w:rPr>
          <w:b/>
        </w:rPr>
        <w:t>E. 1</w:t>
      </w:r>
    </w:p>
    <w:p>
      <w:r>
        <w:t>La recourante procède en allemand. Ce choix n'impose pas de déroger à la règle selon laquelle la langue de la procédure est généralement celle de la décision attaquée ( art. 54 al. 1 LTF ), soit le français.</w:t>
      </w:r>
    </w:p>
    <w:p>
      <w:r>
        <w:t>Dirigé contre une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la recourante a la qualité pour recourir au sens de l' art. 89 al. 1 LTF et les conditions formelles de recevabilité sont remplies, de sorte qu'il y a lieu d'entrer en matière.</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les faits déterminants ayant entraîné la perte de la nationalité se sont déroulés sous l'empire de l'ancien droit de sorte que l'aLN s'applique.</w:t>
      </w:r>
    </w:p>
    <w:p>
      <w:r>
        <w:rPr>
          <w:b/>
        </w:rPr>
        <w:t>E. 3.1</w:t>
      </w:r>
    </w:p>
    <w:p>
      <w:r>
        <w:t>La recourante se plaint d'arbitraire dans l'établissement des faits et l'appréciation des preuves.</w:t>
      </w:r>
    </w:p>
    <w:p>
      <w:r>
        <w:rPr>
          <w:b/>
        </w:rPr>
        <w:t>E. 3.2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Il appartient à la partie recourante de démontrer le caractère arbitraire par une argumentation répondant aux exigences de l' art. 106 al. 2 LTF .</w:t>
      </w:r>
    </w:p>
    <w:p>
      <w:r>
        <w:rPr>
          <w:b/>
        </w:rPr>
        <w:t>E. 3.3</w:t>
      </w:r>
    </w:p>
    <w:p>
      <w:r>
        <w:t>La recourante débute son écriture par un résumé des faits et de la procédure. Dans cette première partie, elle ne cherche pas à démontrer que les faits auraient été établis arbitrairement par l'instance précédente et ne formule ainsi aucun grief recevable.</w:t>
      </w:r>
    </w:p>
    <w:p>
      <w:r>
        <w:t>Elle discute ensuite le passage de l'arrêt entrepris qui retient que son mari avait déjà fait preuve, au cours des deux dernières années, de violence physique et émotionnelle envers elle. Sans véritablement contester que des actes de violence aient pu avoir lieu - puisqu'elle admet que les comportements agressifs de son mari remonteraient à l'année 2005 - elle estime cependant qu'ils n'auraient pas eu la même intensité que ceux intervenus le 26 mars 2017 pour les motifs suivants: ils auraient été dirigés uniquement contre des " objets "; ils n'auraient nécessité aucune intervention des autorités et son mari aurait eu, à chaque reprise, des regrets, ce qui aurait permis au couple de se réconcilier. Elle en déduit que l'épisode survenu le 26 mars 2017 constituerait un événement extraordinaire susceptible de renverser la présomption de fait retenue. Ce faisant, la recourante ne conteste pas véritablement l'établissement des faits, respectivement l'appréciation des preuves; ses critiques, telles qu'elles sont formulées, se confondent en réalité avec ses moyens de fond, qui seront examinés ci-après (cf. infra consid. 4).</w:t>
      </w:r>
    </w:p>
    <w:p>
      <w:r>
        <w:t>Quant aux rapports intimes du couple, l'autorité précédente retient que cette question était source de désaccord et d'insatisfaction; la recourante conteste quant à elle tous différends sur ce point, sans toutefois parvenir à démontrer l'arbitraire du raisonnement tenu par l'autorité précédente. Le tribunal s'est fondé sur différents éléments objectifs, en particulier les déclarations contradictoires de la prénommée au sujet du prétendu accord du couple sur la question de leurs rapports intimes, contenues dans son mémoire de recours et dans sa déclaration sous serment des événements survenus le 26 mars 2017. ll s'est également référé à la demande de " protective order " du 28 mars 2017 de la recourante, dans laquelle elle a dressé les comportements sexuels de son mari, précisant en particulier que, depuis décembre 2015, la fréquence de ses activités sexuelles avait augmenté et le décrivant comme étant dépendant au sexe et sadomasochiste. En outre, l'autorité précédente a relevé que l'un des motifs du divorce tel qu'il ressortait de la demande déposée le 31 mars 2017 était le fait que le mari avait commis l'adultère. Elle a déduit de l'ensemble de ces éléments que les époux rencontraient des désaccords au sujet de leurs rapports intimes, respectivement que la recourante ne pouvait exposer ces aspects de la vie intime de son mari à l'appui d'une demande de protection si elle les approuvait. On ne distingue aucun arbitraire dans ce raisonnement. Le grief d'arbitraire doit ainsi être écarté.</w:t>
      </w:r>
    </w:p>
    <w:p>
      <w:r>
        <w:rPr>
          <w:b/>
        </w:rPr>
        <w:t>E. 4.1</w:t>
      </w:r>
    </w:p>
    <w:p>
      <w:r>
        <w:t>La recourante affirme qu'elle formait une communauté conjugale effective et stable avec son époux avant et après la naturalisation, jusqu'aux évènements survenus en mars 2017.</w:t>
      </w:r>
    </w:p>
    <w:p>
      <w:r>
        <w:rPr>
          <w:b/>
        </w:rPr>
        <w:t>E. 4.2</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1C_449/2019 du 8 juin 2020 consid. 4.1; 1C_658/2019 du 28 février 2020 consid. 3.1.1; 1C_200/2019 du 1</w:t>
      </w:r>
    </w:p>
    <w:p>
      <w:r>
        <w:t>er novembre 2019 consid. 3.2).</w:t>
      </w:r>
    </w:p>
    <w:p>
      <w:r>
        <w:t>La nature potestative de l'art. 41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arrêts 1C_449/2019 du 8 juin 2020 consid. 4.1; 1C_540/2014 du 5 janvier 2015 consid. 4.2.1).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plus récemment arrêt 1C_449/2019 du 8 juin 2020 consid. 4.1).</w:t>
      </w:r>
    </w:p>
    <w:p>
      <w:r>
        <w:rPr>
          <w:b/>
        </w:rPr>
        <w:t>E. 4.3</w:t>
      </w:r>
    </w:p>
    <w:p>
      <w:r>
        <w:t>La procédure administrative fédérale est régie par le principe de la libre appréciation des preuves ( art. 40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(cf. art. 13 al. 1 let. a PA ; voir également ATF 135 II 161 consid. 3 p. 166; 132 II 113 consid. 3.2 p. 115 s.), mais encore de son propre intérêt ( ATF 130 II 482 consid. 3.2 p. 485 s.). Le fait de taxer de plus ou moins rapide un en chaînement de circonstances pertinentes pour l'issue d'un litige relève du pouvoir d'appréciation du juge, opération dans le cadre de laquelle le Tribunal fédéral n'intervient qu'en cas d'excès de ce pouvoir (arrêts 1C_658/2019 du 28 février 2020 consid. 3.1.2; 1C_142/2019 du 27 juin 2019 consid. 4.2).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 plus récemment arrêts 1C_449/2019 du 8 juin 2020 consid. 4.2; 1C_658/2019 du 28 février 2020 consid. 3.1.2).</w:t>
      </w:r>
    </w:p>
    <w:p>
      <w:r>
        <w:rPr>
          <w:b/>
        </w:rPr>
        <w:t>E. 4.4</w:t>
      </w:r>
    </w:p>
    <w:p>
      <w:r>
        <w:t>En l'occurrence, ainsi que l'a retenu le Tribunal administratif fédéral, la présomption que la naturalisation de la recourante a été obtenue frauduleusement peut effectivement être admise, compte tenu de l'enchaînement chronologique particulièrement rapide des événements (la séparation des époux est intervenue moins de deux mois après l'octroi de la naturalisation facilitée [cf. supra consid. 5.2; voir également les arrêts 1C_200/2019 du 1er novembre 2019 consid. 3.4; 1C_449/2019 du 8 juin 2020 consid. 4.3]). La recourante ne le conteste d'ailleurs pas.</w:t>
      </w:r>
    </w:p>
    <w:p>
      <w:r>
        <w:t>Pour l'instance précédente, la présomption était renforcée par d'autres éléments au dossier démontrant que le couple étaitentré dans un processus de délitement depuis plusieurs années déjà: le mari avait précédemment fait preuve (en particulier au cours des deux dernières années) de violence physique ou émotionnelle envers la recourante; le couple était en outre en désaccord au sujet de leurs rapports intimes.</w:t>
      </w:r>
    </w:p>
    <w:p>
      <w:r>
        <w:t>Conformément à la jurisprudence précitée, il s'agit donc de déterminer si l'intéresséeest parvenue à renverser la présomption établie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4.5</w:t>
      </w:r>
    </w:p>
    <w:p>
      <w:r>
        <w:t>Pour renverser cette présomption, la recourante affirme que le revirement soudain de son mari au sujet de leur projet, de longue date, de revenir en Europe afin que leurs enfants y poursuivent leurs études - dont l'autorité précédente n'aurait pas tenu compte - constituerait un événement qui aurait précipité la fin de leur mariage. Il en irait de même des actes de violences commis par le prénommé le 26 mars 2017, qui seraient d'un tout autre ordre que ceux auxquels elle aurait été confrontée antérieurement.</w:t>
      </w:r>
    </w:p>
    <w:p>
      <w:r>
        <w:t>Les explications de la recourante ne sont toutefois pas convaincantes et ne permettent pas de renverser la présomption établie, respectivement de retenir qu'en janvier 2017, les époux vivaient en harmonie, au point qu'ils envisageaient la continuation de leur vie maritale pour une période durable.</w:t>
      </w:r>
    </w:p>
    <w:p>
      <w:r>
        <w:t>L'instance précédente a démontré de manière pertinente que les événements ayant eu lieu en mars 2017, sans qu'il y ait lieu de les minimiser, apparaissaient davantage comme des éléments supplémentaires venant s'ajouter aux nombreuses autres discordes rencontrées par le couple, plutôt que des événements soudainement révélateurs de la gravité des problèmes conjugaux. En effet, on constate à la lecture de l'arrêt entrepris que des violences - de quelque nature que ce soit - existaient déjà avant la séparation et que plusieurs des comportements brutaux de l'époux ont eu lieu durant la procédure de naturalisation facilitée. Contrairement à ce que suggère la recourante, on ne saurait considérer que de telles violences ont lieu " régulièrement " au sein de couples stables. A ces éléments s'ajoutent encore les tensions du couple en lien avec leurs rapports intimes. Il apparaît ainsi peu plausible que la recourante ait ignoré la gravité des difficultés rencontrées par son couple lors de la signature de la déclaration de vie commune en janvier 2017. Le revirement de son ex-époux au sujet de leur projet de vivre en Europe, certes planifié depuis longtemps et au demeurant pris en compte par l'autorité précédente, vient s'inscrire dans cette situation préexistante et ne saurait constituer, dans ce contexte, un événement extraordinaire au sens requis par la jurisprudence. Il en va de même de l'accès de violence qui s'en est suivi, même en admettant qu'il ait pu être plus virulent que ceux subis jusqu'alors. L'affirmation de la recourante selon laquelle le couple se serait toujours battu contre les problèmes émotionnels et les accès de rage de l'époux tend d'ailleurs à confirmer que leur union n'avait pas la stabilité requise au moment déterminant. Dans ces circonstances, l'autorité précédente pouvait arriver à la conclusion que les événements en cause n'apparaissaient pas comme des actes isolés et non prévisibles mais avaient précipité les choses, respectivement qu'ils étaient à interpréter comme la " dispute de trop " ayant poussé la recourante dans ses retranchements.</w:t>
      </w:r>
    </w:p>
    <w:p>
      <w:r>
        <w:t>Enfin, les considérations de la recourante en lien avec ses enfants, qui ont acquis la nationalité helvétique de par leur père, respectivement sa volonté qu'ils s'intègrent en Suisse et qu'ils y poursuivent leur formation, sont sans pertinence pour apprécier si la naturalisation a été obtenue de façon frauduleuse ou non.</w:t>
      </w:r>
    </w:p>
    <w:p>
      <w:r>
        <w:rPr>
          <w:b/>
        </w:rPr>
        <w:t>E. 4.6</w:t>
      </w:r>
    </w:p>
    <w:p>
      <w:r>
        <w:t>En définitive, les éléments avancés par la recourante ne suffisent pas à renverser la présomption retenue par l'autorité précédente. Il en découle que les conditions d'application de l'art. 41 aLN sont réunies; le Tribunal administratif fédéral n'a pas violé le droit fédéral en confirmant l'annulation de la naturalisation facilitée octroyée à la recourante.</w:t>
      </w:r>
    </w:p>
    <w:p>
      <w:r>
        <w:rPr>
          <w:b/>
        </w:rPr>
        <w:t>E. 5</w:t>
      </w:r>
    </w:p>
    <w:p>
      <w:r>
        <w:t>Il résulte de ce qui précède que le recours doit être rejeté dans la mesure où il est recevable. La recourante qui succombe supporte les frais judiciaires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