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1C_208/2019 vom 2. Oktober 2019</w:t>
      </w:r>
    </w:p>
    <w:p>
      <w:r>
        <w:t>Bundesgericht, 2019-10-02, FR</w:t>
      </w:r>
    </w:p>
    <w:p>
      <w:r>
        <w:rPr>
          <w:b/>
        </w:rPr>
        <w:t xml:space="preserve">Quelle: </w:t>
      </w:r>
      <w:r>
        <w:t>https://mcp.opencaselaw.ch/entscheid/bger_1C_208_2019</w:t>
      </w:r>
    </w:p>
    <w:p>
      <w:r>
        <w:t>FR: TF 1C_208/2019 du 2 octobre 2019</w:t>
      </w:r>
    </w:p>
    <w:p>
      <w:r>
        <w:t>IT: TF 1C_208/2019 del 2 ottobre 2019</w:t>
      </w:r>
    </w:p>
    <w:p>
      <w:pPr>
        <w:pStyle w:val="Heading2"/>
      </w:pPr>
      <w:r>
        <w:t>Erwägungen</w:t>
      </w:r>
    </w:p>
    <w:p>
      <w:r>
        <w:rPr>
          <w:b/>
        </w:rPr>
        <w:t>E. 1</w:t>
      </w:r>
    </w:p>
    <w:p>
      <w:r>
        <w:t>Le recourant a formé, en un seul acte ( art. 119 LTF ), un recours en matière de droit public et un recours constitutionnel subsidiaire. Dirigé contre une décision finale ( art. 90 LTF ) prise en dernière instance cantonale ( art. 86 al. 1 let . d LTF) au sujet de mesures administratives de retrait du permis de conduire ( art. 82 let. a LTF ), le recours est en principe recevable comme recours en matière de droit public selon les art. 82 et ss LTF, aucune des exceptions prévues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recevable.</w:t>
      </w:r>
    </w:p>
    <w:p>
      <w:r>
        <w:t>La voie du recours en matière de droit public étant ouverte, le recours constitutionnel subsidiaire est irrecevable ( art. 113 LTF ).</w:t>
      </w:r>
    </w:p>
    <w:p>
      <w:r>
        <w:rPr>
          <w:b/>
        </w:rPr>
        <w:t>E. 2</w:t>
      </w:r>
    </w:p>
    <w:p>
      <w:r>
        <w:t>Le recourant ne conteste ni les faits, ni leur qualification juridique, à savoir l'existence d'une faute légère et d'une faute grave au sens des art. 16a al. 1 let. a LCR et 16c al. 1 let. a LCR. Il reproche toutefois à la cour cantonale de n'avoir pas retenu une violation grave du principe de la célérité. Il se plaint aussi à cet égard d'une violation du principe de la proportionnalité. Il met en exergue les six ans qui se sont écoulés entre le comportement reproché et l'arrêt cantonal et, par voie de conséquence, la perte de l'effet éducatif de la mesure. Il soutient qu'il doit être renoncé au retrait du permis, compte tenu de la durée excessive de la procédure exclusivement due aux faits des autorités, de l'enjeu particulièrement important pour lui (il effectue quotidiennement 150 km pour se rendre sur son lieu de travail) et de son attitude très correcte (faits reconnus et aucune infraction à la LCR ces sept dernières années).</w:t>
      </w:r>
    </w:p>
    <w:p>
      <w:r>
        <w:rPr>
          <w:b/>
        </w:rPr>
        <w:t>E. 2.1</w:t>
      </w:r>
    </w:p>
    <w:p>
      <w:r>
        <w:t>L' art. 29 al. 1 Cst. garantit à toute personne, dans une procédure judiciaire ou administrative, le droit à ce que sa cause soit traitée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 ATF 143 IV 373 consid. 1.3.1 p. 377).</w:t>
      </w:r>
    </w:p>
    <w:p>
      <w:r>
        <w:t>En matière de circulation routière, la durée minimale du retrait de permis de conduire ne peut en principe pas être abaissée en raison d'une violation du droit d'être jugé dans un délai raisonnable ancré aux art. 29 al. 1 Cst. et 6 par. 1 CEDH ( ATF 135 II 334 consid. 2.2 p. 336). Le Tribunal fédéral a toutefois réservé les cas où cette durée était gravement dépassée, de sorte que la mesure de retrait aurait perdu tout effet éducatif ou d'amendement ( ATF 135 II 334 consid. 2.3 p. 336). Si la violation du principe de célérité a été constatée à plusieurs reprises dans la jurisprudence, il n'en a pas moins été retenu que, même dans l'hypothèse d'une durée jugée contraire au principe de célérité - en l'occurrence de 9 ans et 3 mois -, elle ne pesait pas d'un poids important au point de justifier exceptionnellement de renoncer au retrait du permis de conduire (arrêt 1C_190/2018 du 21 août 2018 consid. 5.1).</w:t>
      </w:r>
    </w:p>
    <w:p>
      <w:r>
        <w:rPr>
          <w:b/>
        </w:rPr>
        <w:t>E. 2.2</w:t>
      </w:r>
    </w:p>
    <w:p>
      <w:r>
        <w:t>En l'espèce, le Tribunal cantonal a d'abord retenu que la durée du retrait avait été fixée au minimum légal de six mois, prévu pour l'infraction commise (cf. art. 16c al. 1 let. b LCR et 16c al. 2 let. a LCR) et ne pouvait en principe être abaissée en raison d'une violation du droit d'être jugé dans un délai raisonnable.</w:t>
      </w:r>
    </w:p>
    <w:p>
      <w:r>
        <w:t>Si une violation du principe de la célérité a été reconnue pour la procédure pénale, la procédure administrative a quant à elle été menée sans retard après le jugement pénal du 7 mars 2018 (contrairement aux affaires 1C_190/2018 du 21 août 2018 et 1C_192/2013 du 9 janvier 2014, dans lesquelles la procédure administrative n'avait pas été menée avec célérité). La CMA a en effet rendu sa décision cinq mois et demi après l'entrée en force du jugement pénal. S'ajoute à cela que le recourant a lui-même demandé la suspension de la procédure administrative jusqu'à droit connu sur le plan pénal. Cela n'empêche pas que la durée totale de la procédure - depuis les faits incriminés jusqu'à l'arrêt du Tribunal fédéral - s'élève à un peu moins de sept ans. Une telle durée contrevient au principe de la célérité.</w:t>
      </w:r>
    </w:p>
    <w:p>
      <w:r>
        <w:t>Se pose ensuite la question de savoir si le principe de la célérité a été violé de manière si grave que la mesure de retrait de permis aurait perdu tout effet éducatif ou d'amendement. Avec le Tribunal cantonal, il y a lieu de constater que la durée de la procédure jusqu'à la décision administrative est inférieure à six ans (23 novembre 2012 - 26 septembre 2018) et ne dépasse pas les limites temporelles exposées dans la jurisprudence du Tribunal fédéral. S'y ajoute que la CMA a statué rapidement après avoir eu connaissance de l'arrêt du Tribunal cantonal en matière pénale. Par ailleurs, il ressort du jugement pénal qu'il ne s'agissait pas d'un cas extrême justifiant une exemption de peine, «tant s'en faut». La violation du principe de la célérité ne peut ainsi pas être qualifiée de grave, au point d'impliquer la renonciation à toute sanction. L'effet dissuasif de la mesure paraît toujours d'actualité. En d'autres termes, l'exécution de la mesure prévue par la loi n'est pas dénuée d'effet éducatif, malgré la durée de la procédure.</w:t>
      </w:r>
    </w:p>
    <w:p>
      <w:r>
        <w:rPr>
          <w:b/>
        </w:rPr>
        <w:t>E. 3</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