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207/2021 vom 27. April 2021</w:t>
      </w:r>
    </w:p>
    <w:p>
      <w:r>
        <w:t>Bundesgericht, 2021-04-27, DE</w:t>
      </w:r>
    </w:p>
    <w:p>
      <w:r>
        <w:rPr>
          <w:b/>
        </w:rPr>
        <w:t xml:space="preserve">Quelle: </w:t>
      </w:r>
      <w:r>
        <w:t>https://mcp.opencaselaw.ch/entscheid/bger_1C_207_2021</w:t>
      </w:r>
    </w:p>
    <w:p>
      <w:r>
        <w:t>FR: TF 1C 207/2021 du 27 avril 2021</w:t>
      </w:r>
    </w:p>
    <w:p>
      <w:r>
        <w:t>IT: TF 1C 207/2021 del 27 aprile 2021</w:t>
      </w:r>
    </w:p>
    <w:p>
      <w:pPr>
        <w:pStyle w:val="Heading2"/>
      </w:pPr>
      <w:r>
        <w:t>Regeste</w:t>
      </w:r>
    </w:p>
    <w:p>
      <w:r>
        <w:t>Bauen ausserhalb der Bauzonen | Raumplanung und öffentliches Baurecht</w:t>
      </w:r>
    </w:p>
    <w:p>
      <w:pPr>
        <w:pStyle w:val="Heading2"/>
      </w:pPr>
      <w:r>
        <w:t>Erwägungen</w:t>
      </w:r>
    </w:p>
    <w:p>
      <w:r>
        <w:rPr>
          <w:b/>
        </w:rPr>
        <w:t>E. 1</w:t>
      </w:r>
    </w:p>
    <w:p>
      <w:r>
        <w:t>A.________ ist Eigentümer eines Grundstücks in der Landwirtschaftszone der Gemeinde U.________. Auf dem Grundstück befinden sich ein Wohnhaus mit Schweinescheune, eine Scheune mit Anbauten, ein Wohnhaus mit Garage, eine Maschinenhalle sowie ein Hallenstall. Am 7. Juli 2019 reichte A.________ ein nachträgliches Baugesuch für eine Teilumnutzung der Maschinenhalle in einen Ausstellungsraum für Kunst sowie für verschiedene bauliche Veränderungen ein. Die Dienststelle Raum und Wirtschaft des Kantons Luzern verweigerte mit Entscheid vom 3. Dezember 2019 die nachträgliche Ausnahmebewilligung und hielt fest, dass der Gemeinderat U.________ über die Wiederherstellung des gesetzmässigen Zustands zu befinden habe. Mit Entscheid vom 11. Februar 2020 verweigerte der Gemeinderat U.________ die nachträgliche Baubewilligung für die Teilumnutzung der Maschinenhalle und für die baulichen Veränderungen. Er ordnete die Wiederherstellung des gesetzmässigen Zustands innert vier Monaten nach Rechtskraft des Entscheids an. A.________ erhob dagegen am 5. März 2020 Beschwerde, welche das Kantonsgericht des Kantons Luzern mit Urteil vom 2. März 2021 abwies.</w:t>
      </w:r>
    </w:p>
    <w:p>
      <w:r>
        <w:rPr>
          <w:b/>
        </w:rPr>
        <w:t>E. 2</w:t>
      </w:r>
    </w:p>
    <w:p>
      <w:r>
        <w:t>A.________ führt mit Eingabe vom 16. April 2021 Beschwerde in öffentlich-rechtlichen Angelegenheiten gegen das Urteil des Kantonsgerichts des Kantons Luzern vom 2. März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Das Kantonsgericht legte in seiner Begründung dar, weshalb die Voraussetzungen der vom Beschwerdeführer angerufenen Ausnahmebestimmungen von Art. 24b RPG und Art. 24c RPG nicht erfüllt seien. So habe der Beschwerdeführer seinen Landwirtschaftsbetrieb Ende 2018 aufgegeben und sämtliche landwirtschaftliche Flächen verpachtet. Ausserdem habe der Beschwerdeführer mit dem Betrieb des Ausstellungsraums nichts zu tun, weshalb die Voraussetzungen nach Art. 24b RPG nicht erfüllt seien. Bei der Maschinenhalle handle es sich nicht um eine landwirtschaftliche Wohnbaute oder eine angebaute Ökonomiebaute. Die Maschinenhalle falle deshalb von vornherein nicht in den Anwendungsbereich von Art. 24c RPG . Das gewichtige öffentliche Interesse an der Durchsetzung des Raumplanungsrechts überwiege die entgegenstehenden Interessen am Erhalt des Ausstellungsraums. Der angeordnete Rückbau der ohne Bewilligung erstellten Umbauten erweise sich als verhältnismässig. Auch sei das von der Gemeinde verfügte Nutzungsverbot der Maschinenhalle als Ausstellungsraum für Kunst nicht zu beanstanden. Der Beschwerdeführer setzt sich mit seinen nicht sachbezogenen Ausführungen nicht mit der entscheidwesentlichen Begründung des Kantonsgerichts auseinander. Er legt nicht im Einzelnen und konkret dar, inwiefern die Begründung des Kantonsgerichts, die zur Abweisung der Beschwerde führte, bzw. das Urteil des Kantonsgerichts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