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207/2011 vom 7. Oktober 2011</w:t>
      </w:r>
    </w:p>
    <w:p>
      <w:r>
        <w:t>Bundesgericht, 2011-10-07, FR</w:t>
      </w:r>
    </w:p>
    <w:p>
      <w:r>
        <w:rPr>
          <w:b/>
        </w:rPr>
        <w:t xml:space="preserve">Quelle: </w:t>
      </w:r>
      <w:r>
        <w:t>https://mcp.opencaselaw.ch/entscheid/bger_1C_207_2011</w:t>
      </w:r>
    </w:p>
    <w:p>
      <w:r>
        <w:t>FR: TF 1C 207/2011 du 7 octobre 2011</w:t>
      </w:r>
    </w:p>
    <w:p>
      <w:r>
        <w:t>IT: TF 1C 207/2011 del 7 ottobre 2011</w:t>
      </w:r>
    </w:p>
    <w:p>
      <w:pPr>
        <w:pStyle w:val="Heading2"/>
      </w:pPr>
      <w:r>
        <w:t>Regeste</w:t>
      </w:r>
    </w:p>
    <w:p>
      <w:r>
        <w:t>Annulation de la naturalisation facilitée | Droit de cité et droit des étrangers</w:t>
      </w:r>
    </w:p>
    <w:p>
      <w:pPr>
        <w:pStyle w:val="Heading2"/>
      </w:pPr>
      <w:r>
        <w:t>Erwägungen</w:t>
      </w:r>
    </w:p>
    <w:p>
      <w:r>
        <w:rPr>
          <w:b/>
        </w:rPr>
        <w:t>E. 1.1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1.2</w:t>
      </w:r>
    </w:p>
    <w:p>
      <w:r>
        <w:t>Saisi d'un recours en matière de droit public, le Tribunal fédéral examine librement la violation du droit fédéral (cf. art. 95 let. a et 106 al. 1 LTF ). En revanche, il n'apprécie la violation des droits fondamentaux que si ce grief a été invoqué et motivé conformément au principe d'allégation ( art. 106 al. 2 LTF ; ATF 134 I 83 consid. 3.2 p. 88 et les arrêts cités).</w:t>
      </w:r>
    </w:p>
    <w:p>
      <w:r>
        <w:rPr>
          <w:b/>
        </w:rPr>
        <w:t>E. 2</w:t>
      </w:r>
    </w:p>
    <w:p>
      <w:r>
        <w:t>Dans un grief formel qu'il convient d'examiner en premier lieu, le recourant se plaint d'une violation de son droit d'être entendu. Il reproche à l'instance précédente de ne pas l'avoir autorisé à produire les pièces nécessaires à renverser la présomption établie par la décision de l'ODM.</w:t>
      </w:r>
    </w:p>
    <w:p>
      <w:r>
        <w:rPr>
          <w:b/>
        </w:rPr>
        <w:t>E. 2.1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2.2</w:t>
      </w:r>
    </w:p>
    <w:p>
      <w:r>
        <w:t>En l'espèce, le recourant ne propose aucune démonstration quant à la prétendue violation de son droit d'être entendu. Il n'indique en particulier pas quelles pièces pertinentes il n'aurait pas été admis à produire devant l'instance précédente. Sur ce point, le recours ne satisfait pas aux exigences minimales de motivation rappelées ci-dessus (cf. supra consid. 1.2). Il est au demeurant mal fondé. En effet, le recourant a largement eu la possibilité de s'expliquer et de faire valoir ses moyens et ses offres de preuve au cours de la procédure d'instruction. Il a notamment produit divers témoignages écrits censés démontrer qu'au moment de signer la déclaration commune son intention de former une véritable union conjugale était réelle. Il n'apparaît au demeurant pas qu'il ait formellement requis d'autres mesures d'instruction devant l'instance précédente. Dans ces circonstances, il ne saurait faire grief à celle-ci d'avoir violé son droit d'être entendu en l'ayant empêché de produire des pièces pertinentes. Ce premier moyen doit être rejeté dans la mesure où il est recevable.</w:t>
      </w:r>
    </w:p>
    <w:p>
      <w:r>
        <w:rPr>
          <w:b/>
        </w:rPr>
        <w:t>E. 3</w:t>
      </w:r>
    </w:p>
    <w:p>
      <w:r>
        <w:t>Le recourant se plaint également d'une interprétation arbitraire des faits. En substance, il reproche au TAF d'avoir accordé trop de poids aux déclarations de son ex-épouse. L'instance précédente n'aurait pas ou pas suffisamment pris en compte les différents témoignages qu'il aurait versés au dossier et qui confirmeraient, d'une part, la bonne entente des époux au moment de la demande de naturalisation et, d'autre part, qu'il n'aurait fait la connaissance de sa nouvelle épouse qu'en décembre 2008, soit après la séparation des époux et l'introduction de la demande de divorce. En l'espèce, tel qu'il est formulé, le grief du recourant concerne en réalité l'appréciation juridique des faits et se confond avec celui tiré de la violation de l' art. 41 LN examiné ci-dessous.</w:t>
      </w:r>
    </w:p>
    <w:p>
      <w:r>
        <w:rPr>
          <w:b/>
        </w:rPr>
        <w:t>E. 3.1</w:t>
      </w:r>
    </w:p>
    <w:p>
      <w:r>
        <w:t>Conformément à l' art. 41 LN , l'ODM peut, avec l'assentiment de l'autorité du canton d'origine, annuler une naturalisation facilitée obtenue par des déclarations mensongères ou par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3.1.2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considéré que le laps de temps relativement court entre la déclaration commune (27 novembre 2006), l'octroi de la naturalisation facilitée (28 décembre 2006), la séparation de fait des époux (mai 2008), le dépôt de la requête commune de divorce (19 juin 2008) et le remariage du recourant avec une ressortissante algérienne (29 mars 2010) fondait la présomption que la naturalisation facilitée avait été obtenue frauduleusement. Le recourant ne conteste aucun des éléments établissant cette présomption, laquelle peut effectivement se fonder sur la succession rapide des événements. Il s'agit dès lors uniquement de déterminer si le recourant est parvenu à renverser cette présomption, comme il le soutient.</w:t>
      </w:r>
    </w:p>
    <w:p>
      <w:r>
        <w:rPr>
          <w:b/>
        </w:rPr>
        <w:t>E. 3.3</w:t>
      </w:r>
    </w:p>
    <w:p>
      <w:r>
        <w:t>Pour le TAF, cette présomption était renforcée par le remariage de l'intéressé avec une ressortissante algérienne vingt-quatre ans plus jeune que son ex-épouse ainsi que par la rapidité avec laquelle il avait rencontré sa compatriote (1 mois après l'entrée en force du jugement de divorce) et entrepris les démarches en vue du mariage en Suisse (demande de visa déposée le 14 septembre 2009 auprès de l'Ambassade de Suisse à Alger). De même, les déclarations de son ex-épouse - quant aux problèmes conjugaux survenus dès 2003 et au changement d'attitude de l'intéressé une fois la naturalisation obtenue - ainsi que l'absence de loisirs communs et de volonté, de part et d'autre, de connaître et faire connaître l'environnement socio-culturel et familial du recourant corroboraient cette présomption. Quant au recourant, il soutient que lui et son ex-épouse formait une véritable union conjugale lors de la procédure de naturalisation, comme l'attesteraient les témoignages écrits versés au dossier. Il fait notamment grief au TAF de ne pas avoir suffisamment tenu compte du fait que la demande de divorce relevait de l'initiative de son ex-femme et qu'il n'aurait rencontré sa nouvelle épouse qu'une fois le divorce prononcé. Contrairement à ce que semble soutenir le recourant dans son écriture, le simple fait d'alléguer et offrir de prouver l'existence d'une communauté conjugale stable au moment de la demande de naturalisation n'est pas suffisant. En effet, conformément à la jurisprudence rappelée précédemment, une fois la présomption établie par l'autorité, il appartient à l'intéressé de faire admettre l'existence d'une possibilité raisonnable qu'il n'ait pas menti (cf. consid. 3.1.2). Or, celui-ci ne fournit aucun élément permettant d'expliquer pourquoi la communauté prétendument intacte à la fin novembre 2006, ne l'était plus seize mois plus tard. Il se borne en effet à affirmer qu'au moment de la déclaration commune, il formait une communauté conjugale stable et qu'il ne pouvait prévoir que son épouse demanderait le divorce par la suite. Cette allégation n'est à elle seule pas susceptible de détruire la présomption établie fondée sur la chronologie des événements (cf. consid. 3.2) et elle est en outre notamment contredite par les déclarations de son ex-épouse faisant état de difficultés conjugales dès 2003 ainsi que du changement d'attitude de son ex-époux à son égard après l'obtention de l'autorisation d'établissement. Les témoignages écrits de tiers (amis et famille du recourant) - faisant état de soirées agréables passées en compagnie du couple - ne sont pas non plus en mesure d'affaiblir ladite présomption. Par ailleurs, le fait que l'initiative de la demande de divorce soit imputable à l'ex-épouse n'est pas déterminant dans la mesure où les époux ont contresigné une requête commune de divorce le 19 juin 2008 sans qu'auparavant l'intéressé ne se soit opposé au divorce en tentant d'une manière ou d'une autre de sauver leur mariage, ce que le recourant ne conteste pas. Celui-ci a donc rapidement et facilement accepté l'idée de la dissolution du mariage et il apparaît ainsi peu plausible qu'il n'ait découvert la dégradation de son couple qu'à ce moment-là. Dans ce contexte, il importe peu, comme relevé à juste titre par le TAF, que l'intéressé n'ait rencontré sa nouvelle épouse qu'une fois le divorce prononcé.</w:t>
      </w:r>
    </w:p>
    <w:p>
      <w:r>
        <w:rPr>
          <w:b/>
        </w:rPr>
        <w:t>E. 3.4</w:t>
      </w:r>
    </w:p>
    <w:p>
      <w:r>
        <w:t>En définitive, le recourant n'a apporté aucun élément propre à démontrer la survenance d'un événement extraordinaire postérieur à la signature de la déclaration commune et susceptible d'expliquer une dégradation aussi rapide du lien conjugal. L'intéressé n'a pas non plus rendu vraisemblable qu'au moment de la signature de la déclaration commune, il n'avait pas conscience du fait que la communauté conjugale n'était plus orientée vers l'avenir. Les éléments qu'il a avancés ne suffisent manifestement pas à renverser la présomption établie. Dans ces conditions, l'annulation de la naturalisation facilitée accordée au recourant ne viole pas l' art. 41 LN .</w:t>
      </w:r>
    </w:p>
    <w:p>
      <w:r>
        <w:rPr>
          <w:b/>
        </w:rPr>
        <w:t>E. 4</w:t>
      </w:r>
    </w:p>
    <w:p>
      <w:r>
        <w:t>Il résulte de ce qui précède que le recours doit être rejeté dans la mesure où il est recevable. Il n'y a pas lieu d'accorder l'assistance judiciaire dès lors que les conclusions du recours paraissaient d'emblée vouées à l'échec ( art. 64 al. 1 LTF ).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