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205/2014 vom 24. April 2014</w:t>
      </w:r>
    </w:p>
    <w:p>
      <w:r>
        <w:t>Bundesgericht, 2014-04-24, DE</w:t>
      </w:r>
    </w:p>
    <w:p>
      <w:r>
        <w:rPr>
          <w:b/>
        </w:rPr>
        <w:t xml:space="preserve">Quelle: </w:t>
      </w:r>
      <w:r>
        <w:t>https://mcp.opencaselaw.ch/entscheid/bger_1C_205_2014</w:t>
      </w:r>
    </w:p>
    <w:p>
      <w:r>
        <w:t>FR: TF 1C 205/2014 du 24 avril 2014</w:t>
      </w:r>
    </w:p>
    <w:p>
      <w:r>
        <w:t>IT: TF 1C 205/2014 del 24 aprile 2014</w:t>
      </w:r>
    </w:p>
    <w:p>
      <w:pPr>
        <w:pStyle w:val="Heading2"/>
      </w:pPr>
      <w:r>
        <w:t>Regeste</w:t>
      </w:r>
    </w:p>
    <w:p>
      <w:r>
        <w:t>Akteneinsicht | Strassenbau und Strassenverkehr</w:t>
      </w:r>
    </w:p>
    <w:p>
      <w:pPr>
        <w:pStyle w:val="Heading2"/>
      </w:pPr>
      <w:r>
        <w:t>Erwägungen</w:t>
      </w:r>
    </w:p>
    <w:p>
      <w:r>
        <w:rPr>
          <w:b/>
        </w:rPr>
        <w:t>E. 1</w:t>
      </w:r>
    </w:p>
    <w:p>
      <w:r>
        <w:t>Das Strassenverkehrs- und Schifffahrtsamt des Kantons Bern aberkannte X.________ mit Verfügung vom 11. März 2009 vorsorglich das Recht, von ihrem ausländischen Führerschein in der Schweiz Gebrauch zu machen. Eine gegen diese Verfügung von X.________ erhobene Beschwerde hiess die Rekurskommission des Kantons Bern für Massnahmen gegenüber Fahrzeugführern mit Verfügung vom 21. April 2009 gut und ordnete an, dass der Beschwerdeführerin der Führerausweis umgehend wieder zu erteilen sei. Das Bundesgericht trat mit Urteil 1C_213/2009 vom 27. Mai 2009 auf eine Beschwerde von X.________ gegen den Entscheid der Rekurskommission nicht ein. Auf eine schriftliche Anfrage von X.________ vom 7. August 2012 hin teilte das Bundesgericht ihr am 10. August 2012 mit, dass ihr bereits Kopien von sämtlichen Aktenstücken des bundesgerichtlichen Verfahrens 1C_213/2009 zugestellt worden seien. Die kantonalen Akten müsste sie - soweit sie daran interessiert sei - direkt beim Kanton verlangen.</w:t>
      </w:r>
    </w:p>
    <w:p>
      <w:r>
        <w:rPr>
          <w:b/>
        </w:rPr>
        <w:t>E. 2</w:t>
      </w:r>
    </w:p>
    <w:p>
      <w:r>
        <w:t>Mit Eingabe vom 14. April 2014 beschwert sich X.________ beim Bundesgericht sinngemäss über ein Verweigerung der Akteneinsicht in Bezug auf die dem bundesgerichtlichen Verfahren 1C_213/2009 zugrunde liegenden kantonalen Entscheide. Aus dem Schreiben ergibt sich indessen nicht, in welche Unterlagen Einsicht verlangt und inwiefern die Akteneinsicht verweigert wurde. Nach Art. 42 Abs. 2 BGG ist in der Begründung einer Beschwerde in gedrängter Form darzulegen, inwiefern der angefochtene Entscheid Recht verletzt. Art. 95 ff. BGG nennt die vor Bundesgericht zulässigen Beschwerdegründe. Grundsätzlich dieselben Grundsätze gelten, wenn gegen das unrechtmässige Verweigern oder Verzögern eines Entscheids Beschwerde geführt wird ( Art. 94 BGG ). Die vorliegende Eingabe enthält keine hinreichenden Ausführungen, welche die Prüfung einer Rechtsverletzung erlauben würden ( Art. 42 Abs. 2 BGG ). Aus diesem Grund kann auf die Eingabe nicht eingetreten werden. Der Begründungsmangel ist offensichtlich, weshalb über die Eingabe im vereinfachten Verfahren nach Art. 108 Abs. 1 lit. b BGG entschieden werden kann.</w:t>
      </w:r>
    </w:p>
    <w:p>
      <w:r>
        <w:rPr>
          <w:b/>
        </w:rPr>
        <w:t>E. 3</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