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1C_205/2012 vom 6. November 2012</w:t>
      </w:r>
    </w:p>
    <w:p>
      <w:r>
        <w:t>Bundesgericht, 2012-11-06, FR</w:t>
      </w:r>
    </w:p>
    <w:p>
      <w:r>
        <w:rPr>
          <w:b/>
        </w:rPr>
        <w:t xml:space="preserve">Quelle: </w:t>
      </w:r>
      <w:r>
        <w:t>https://mcp.opencaselaw.ch/entscheid/bger_1C_205_2012</w:t>
      </w:r>
    </w:p>
    <w:p>
      <w:r>
        <w:t>FR: TF 1C_205/2012 du 6 novembre 2012</w:t>
      </w:r>
    </w:p>
    <w:p>
      <w:r>
        <w:t>IT: TF 1C_205/2012 del 6 novembre 2012</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n'étant réalisée. En tant que propriétaire de l'immeuble concerné par la mesure de classement litigieuse, la recourante est particulièrement touchée par l'arrêt attaqué et peut ainsi se prévaloir d'un intérêt personnel et digne de protection à son annulation ou à sa modification. Elle a dès lors qualité pour agir au sens de l' art. 89 al. 1 LTF .</w:t>
      </w:r>
    </w:p>
    <w:p>
      <w:r>
        <w:rPr>
          <w:b/>
        </w:rPr>
        <w:t>E. 2</w:t>
      </w:r>
    </w:p>
    <w:p>
      <w:r>
        <w:t>Dans un premier grief relatif à l'établissement des faits, la recourante reproche à la Chambre administrative de n'avoir pas instruit la question de la propriété des pieds de tables et des chaises. Elle fait valoir que ces objets ne lui appartiennent pas et qu'elle ignore qui en est propriétaire. La décision de classement serait nulle puisque le propriétaire du mobilier n'a pas pu participer à la procédure.</w:t>
      </w:r>
    </w:p>
    <w:p>
      <w:r>
        <w:rPr>
          <w:b/>
        </w:rPr>
        <w:t>E. 2.1</w:t>
      </w:r>
    </w:p>
    <w:p>
      <w:r>
        <w:t>La procédure administrative est régie certes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 ATF 128 II 139 consid. 2b p. 142; 120 V 357 consid. 1a p. 360). Conformément au principe général de procédure consacré à l' art. 8 CC , il incombe en effet à l'administré d'établir les faits qui sont de nature à lui procurer un avantage, spécialement lorsqu'il s'agit d'élucider des faits qu'il est le mieux à même de connaître, telle sa situation patrimoniale (arrêt 1B_152/2008 du 30 juin 2008 consid. 3.2; voir aussi ATF 125 IV 161 consid. 4 p. 164; 120 Ia 179 consid. 3a p. 181).</w:t>
      </w:r>
    </w:p>
    <w:p>
      <w:r>
        <w:t>En l'espèce, la recourante n'a pas soulevé la moindre remarque, en cours de procédure, sur les objets mobiliers touchés par le classement, en particulier quant à leur appartenance. La chambre administrative pouvait dès lors partir du principe qu'ils étaient également propriété de la Genevoise (cf. art. 644 al. 2 CC ). La maxime inquisitoire n'imposait pas d'instruire d'office une question qui n'était pas litigieuse et l'on ne voit pas en quoi les juges cantonaux auraient établi les faits de façon manifestement inexacte ou incomplète. En tout état de cause, le fait que la recourante ne serait pas propriétaire du mobilier est allégué pour la première fois en procédure fédérale et a valeur de nova; il ne peut dès lors être pris en considération (cf. art. 99 al. 1 LTF ). Partant, le grief doit être rejeté sur ce point.</w:t>
      </w:r>
    </w:p>
    <w:p>
      <w:r>
        <w:rPr>
          <w:b/>
        </w:rPr>
        <w:t>E. 2.2</w:t>
      </w:r>
    </w:p>
    <w:p>
      <w:r>
        <w:t>En arguant qu'elle n'est pas propriétaire des pieds de table et des chaises de l'établissement, ce qui rendrait nulle la décision de classement, la recourante présente une argumentation nouvelle. L' art. 99 LTF n'interdit pas de présenter, pour la première fois devant le Tribunal fédéral, une nouvelle argumentation juridique, à la condition toutefois que celle-ci repose entièrement sur l'état de fait qui lie le Tribunal fédéral, puisqu'il n'est pas admis de présenter des faits nouveaux ou des moyens de preuve nouveaux ( art. 99 al. 1 LTF ; ATF 134 III 643 consid. 5.3.2 p. 651). En l'occurrence, cette nouvelle motivation de la recourante se base sur des nova; elle est par conséquent irrecevable.</w:t>
      </w:r>
    </w:p>
    <w:p>
      <w:r>
        <w:rPr>
          <w:b/>
        </w:rPr>
        <w:t>E. 2.3</w:t>
      </w:r>
    </w:p>
    <w:p>
      <w:r>
        <w:t>Au surplus, en tant qu'elle invoque les droits de partie ainsi que le droit d'être entendu de l'éventuel propriétaire du mobilier classé, la recourante agit dans l'intérêt d'un tiers, ce qu'elle n'est pas habilitée à faire ( art. 89 al. 1 LTF ).</w:t>
      </w:r>
    </w:p>
    <w:p>
      <w:r>
        <w:rPr>
          <w:b/>
        </w:rPr>
        <w:t>E. 3</w:t>
      </w:r>
    </w:p>
    <w:p>
      <w:r>
        <w:t>Au fond, la recourante se plaint d'une violation du principe de la proportionnalité. Elle estime que le plan de site protège suffisamment le bâtiment et qu'une mesure de classement ne serait par conséquent pas nécessaire.</w:t>
      </w:r>
    </w:p>
    <w:p>
      <w:r>
        <w:t>Il est en l'espèce douteux que la motivation du grief, rédigé dans un style appellatoire, réponde aux exigences accrues de l' art. 106 al. 2 LTF . Quoi qu'il en soit, la critique est mal fondée. La chambre administrative a en effet expliqué de façon convaincante que la protection du bâtiment par le plan de site n'était pas aussi efficace que celle découlant d'un classement, notamment car elle ne permettait pas d'empêcher des interventions fondamentales à l'intérieur de l'édifice. En particulier, le plan de site est insuffisant pour préserver les caractéristiques internes de l'établissement, soit in casu les boiseries et le mobilier, qui présentent un intérêt historique et patrimonial indéniable, reconnu par les spécialistes. La mesure de classement litigieuse ne contrevient dès lors pas au principe de la proportionnalité.</w:t>
      </w:r>
    </w:p>
    <w:p>
      <w:r>
        <w:rPr>
          <w:b/>
        </w:rPr>
        <w:t>E. 4</w:t>
      </w:r>
    </w:p>
    <w:p>
      <w:r>
        <w:t>Enfin, la recourante affirme en vain que la mesure de classement serait arbitraire, car détournée de son but. Le classement constituerait selon elle une nouvelle tentative d'imposer au bailleur le maintien de l'activité du "Relais de l'Entrecôte". Or, il ressort de l'arrêt attaqué que la mesure litigieuse ne saurait chercher à imposer l'exploitation des locaux par une personne déterminée, rapports relevant exclusivement du droit privé, ce que ne conteste pas la recourante. A cela s'ajoute que, comme l'a rappelé le Conseil d'Etat dans sa réponse du 1er juin 2012, l'objectif du classement visait exclusivement la sauvegarde d'un patrimoine architectural dont la pérennité ne pouvait être garantie durablement par les seules prescriptions du plan de site de la rade. Le présent grief s'avère également mal fondé et doit être rejeté.</w:t>
      </w:r>
    </w:p>
    <w:p>
      <w:r>
        <w:rPr>
          <w:b/>
        </w:rPr>
        <w:t>E. 5</w:t>
      </w:r>
    </w:p>
    <w:p>
      <w:r>
        <w:t>Il résulte de ce qui précède que le recours doit être rejeté dans la mesure où il est recevable,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