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1C_203/2024 vom 2. Mai 2024</w:t>
      </w:r>
    </w:p>
    <w:p>
      <w:r>
        <w:t>Bundesgericht, 2024-05-02, DE</w:t>
      </w:r>
    </w:p>
    <w:p>
      <w:r>
        <w:rPr>
          <w:b/>
        </w:rPr>
        <w:t xml:space="preserve">Quelle: </w:t>
      </w:r>
      <w:r>
        <w:t>https://mcp.opencaselaw.ch/entscheid/bger_1C_203_2024</w:t>
      </w:r>
    </w:p>
    <w:p>
      <w:r>
        <w:t>FR: TF 1C_203/2024 du 2 mai 2024</w:t>
      </w:r>
    </w:p>
    <w:p>
      <w:r>
        <w:t>IT: TF 1C_203/2024 del 2 maggio 2024</w:t>
      </w:r>
    </w:p>
    <w:p>
      <w:pPr>
        <w:pStyle w:val="Heading2"/>
      </w:pPr>
      <w:r>
        <w:t>Erwägungen</w:t>
      </w:r>
    </w:p>
    <w:p>
      <w:r>
        <w:rPr>
          <w:b/>
        </w:rPr>
        <w:t>E. 1</w:t>
      </w:r>
    </w:p>
    <w:p>
      <w:r>
        <w:t>Am 27. September 2023 erteilte der Gemeinderat Oberiberg der Wasserversorgung Moos die Baubewilligung für den Ersatzneubau des Reservoirs Feissboden samt Leitungsnetz unter Auflagen und Bedingungen. Auf die gegen das Bauvorhaben erhobene Einsprache von A.________, Eigentümer des Grundstücks KTN 770, auf dem sich das Reservoir befindet, trat er nicht ein.</w:t>
      </w:r>
    </w:p>
    <w:p>
      <w:r>
        <w:t>Gegen den Entscheid des Gemeinderats gelangte A.________ an den Regierungsrat des Kantons Schwyz. Mit Beschluss vom 5. Dezember 2023 trat der Regierungsrat auf die Beschwerde nicht ein, da A.________ - trotz Androhung des Nichteintretens im Säumnisfall - innert der angesetzten Nachfrist den Kostenvorschuss nicht geleistet und innert dieser Frist auch weder ein Gesuch um unentgeltliche Rechtspflege eingereicht noch den Nachweis erbracht habe, dass er infolge einer Massnahmeverfügung der Staatsanwaltschaft keinen Zugang zu seinen Vermögenswerten habe. Sodann auferlegte er A.________ die Verfahrenskosten von Fr. 300.--.</w:t>
      </w:r>
    </w:p>
    <w:p>
      <w:r>
        <w:rPr>
          <w:b/>
        </w:rPr>
        <w:t>E. 2</w:t>
      </w:r>
    </w:p>
    <w:p>
      <w:r>
        <w:t>Gegen den Beschluss des Regierungsrats erhob A.________ Beschwerde beim Verwaltungsgericht des Kantons Schwyz. Mit Entscheid vom 22. Februar 2024 wies das Gericht das Rechtsmittel ab und auferlegte A.________ die Kosten des verwaltungsgerichtlichen Verfahrens.</w:t>
      </w:r>
    </w:p>
    <w:p>
      <w:r>
        <w:rPr>
          <w:b/>
        </w:rPr>
        <w:t>E. 3</w:t>
      </w:r>
    </w:p>
    <w:p>
      <w:r>
        <w:t>Mit Eingabe vom 11. April 2024 erhebt A.________ beim Bundesgericht Beschwerde gegen den Entscheid des Verwaltungsgerichts.</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in Auseinandersetzung mit den Vorbringen des Beschwerdeführers einlässlich dargelegt, wieso der Nichteintretensentscheid des Regierungsrats rechtens sei. Sie hat zudem ausgeführt, wieso die dem Beschwerdeführer vom Regierungsrat auferlegten Verfahrenskosten von Fr. 300.-- angemessen und nicht zu beanstanden seien. Der Beschwerdeführer wiederholt zwar vor Bundesgericht im Rahmen seiner zum Teil unverständlichen Ausführungen seine frühere Kritik am Entscheid des Regierungsrats. Er setzt sich mit den Erwägungen im angefochtenen Entscheid jedoch nicht auseinander und legt nicht und schon gar nicht konkret und im Einzelnen dar, inwiefern die Begründung der Vorinstanz oder deren Entscheid selbst Recht im Sinne von Art. 42 Abs. 2 BGG verletzen soll. Seine Beschwerde genügt daher den Begründungsanforderungen offensichtlich nicht. Soweit er sich gegen das erwähnte Bauvorhaben wendet, geht er sodann über den zulässigen Gegenstand des vorliegenden Verfahrens hinaus, ist dieser doch auf die Frage beschränkt, ob die Vorinstanz den Nichteintretensentscheid (inklusive Kostenregelung) des Regierungsrats zu Recht geschützt hat. Damit ist auf die Beschwerde im vereinfachten Verfahren nach Art. 108 Abs. 1 BGG nicht einzutreten.</w:t>
      </w:r>
    </w:p>
    <w:p>
      <w:r>
        <w:rPr>
          <w:b/>
        </w:rPr>
        <w:t>E. 5</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