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1C_202/2022 vom 13. April 2022</w:t>
      </w:r>
    </w:p>
    <w:p>
      <w:r>
        <w:t>Bundesgericht, 2022-04-13, DE</w:t>
      </w:r>
    </w:p>
    <w:p>
      <w:r>
        <w:rPr>
          <w:b/>
        </w:rPr>
        <w:t xml:space="preserve">Quelle: </w:t>
      </w:r>
      <w:r>
        <w:t>https://mcp.opencaselaw.ch/entscheid/bger_1C_202_2022</w:t>
      </w:r>
    </w:p>
    <w:p>
      <w:r>
        <w:t>FR: TF 1C_202/2022 du 13 avril 2022</w:t>
      </w:r>
    </w:p>
    <w:p>
      <w:r>
        <w:t>IT: TF 1C_202/2022 del 13 aprile 2022</w:t>
      </w:r>
    </w:p>
    <w:p>
      <w:pPr>
        <w:pStyle w:val="Heading2"/>
      </w:pPr>
      <w:r>
        <w:t>Erwägungen</w:t>
      </w:r>
    </w:p>
    <w:p>
      <w:r>
        <w:rPr>
          <w:b/>
        </w:rPr>
        <w:t>E. 1</w:t>
      </w:r>
    </w:p>
    <w:p>
      <w:r>
        <w:t>Am 15. Dezember 2020 ordnete die Polizei des Kantons Basel-Landschaft an, A.________ habe sich wegen des Verdachts auf eine Alkoholproblematik einer verkehrsmedizinischen Fahreignungsabklärung der Stufe 4 zu unterziehen und deren Resultat bis zum 15. Juni 2021 vorzulegen, unter der Androhung, bei Säumnis werde der Führerausweis vorsorglich auf unbestimmte Zeit entzogen.</w:t>
      </w:r>
    </w:p>
    <w:p>
      <w:r>
        <w:t>Am 19. August 2021 entzog die Polizei A.________ den Führerausweis vorsorglich und ordnete erneut eine verkehrsmedizinische Untersuchung der Stufe 4 an.</w:t>
      </w:r>
    </w:p>
    <w:p>
      <w:r>
        <w:t>Dieser Entscheid wurde vom Kantonsgericht Basel-Landschaft am 1. März 2022 kantonal letztinstanzlich geschützt.</w:t>
      </w:r>
    </w:p>
    <w:p>
      <w:r>
        <w:t>Mit Eingabe vom 1. April 2022 beantragt A.________, die Sache ans Kantonsgericht zur Durchführung eines ordentlichen Verfahrens zurückzuweisen.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Der Beschwerdeführer macht zur Sache im Wesentlichen bloss geltend, das Kantonsgericht habe "ohne Anhörung" entschieden. Damit legt er indessen nicht in einer den gesetzlichen Anforderungen genügenden Weise dar, dass und inwiefern das Kantonsgericht sein rechtliches Gehör verletzte, und das ist auch nicht ersichtlich. Auf die Beschwerde ist wegen Verletzung der gesetzlichen Begründungspflicht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