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202/2014 vom 26. Mai 2014</w:t>
      </w:r>
    </w:p>
    <w:p>
      <w:r>
        <w:t>Bundesgericht, 2014-05-26, FR</w:t>
      </w:r>
    </w:p>
    <w:p>
      <w:r>
        <w:rPr>
          <w:b/>
        </w:rPr>
        <w:t xml:space="preserve">Quelle: </w:t>
      </w:r>
      <w:r>
        <w:t>https://mcp.opencaselaw.ch/entscheid/bger_1C_202_2014</w:t>
      </w:r>
    </w:p>
    <w:p>
      <w:r>
        <w:t>FR: TF 1C 202/2014 du 26 mai 2014</w:t>
      </w:r>
    </w:p>
    <w:p>
      <w:r>
        <w:t>IT: TF 1C 202/2014 del 26 maggio 2014</w:t>
      </w:r>
    </w:p>
    <w:p>
      <w:pPr>
        <w:pStyle w:val="Heading2"/>
      </w:pPr>
      <w:r>
        <w:t>Regeste</w:t>
      </w:r>
    </w:p>
    <w:p>
      <w:r>
        <w:t>Entraide judiciaire internationale en matière pénale avec la Norvège | Entraide et extradition</w:t>
      </w:r>
    </w:p>
    <w:p>
      <w:pPr>
        <w:pStyle w:val="Heading2"/>
      </w:pPr>
      <w:r>
        <w:t>Erwägungen</w:t>
      </w:r>
    </w:p>
    <w:p>
      <w:r>
        <w:rPr>
          <w:b/>
        </w:rPr>
        <w:t>E. 1</w:t>
      </w:r>
    </w:p>
    <w:p>
      <w:r>
        <w:t>Selon les art. 107 al. 3 et 109 al. 1 LTF, la cour siège à trois juges et dans le délai de quinze jours après la fin d'un éventuel échange d'écritures, lorsqu'elle refuse d'entrer en matière sur un recours soumis à l'exigence de l' art. 84 LTF .</w:t>
      </w:r>
    </w:p>
    <w:p>
      <w:r>
        <w:rPr>
          <w:b/>
        </w:rPr>
        <w:t>E. 1.1</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et de la nature de la transmission envisagée, portant sur la documentation relative à un compte bancaire déterminé, le cas ne revêt en soi aucune importance particulière.</w:t>
      </w:r>
    </w:p>
    <w:p>
      <w:r>
        <w:rPr>
          <w:b/>
        </w:rPr>
        <w:t>E. 1.3</w:t>
      </w:r>
    </w:p>
    <w:p>
      <w:r>
        <w:t>La recourante soutient que la portée du principe "ne bis in idem", tel qu'il découle de l'art. 54 de la Convention d'application de l'Accord Schengen (CAAS), constituerait une question de principe. Il n'en est rien: si la disposition précitée interdit à un Etat membre de poursuivre une personne définitivement jugée dans un autre Etat membre, elle n'empêche pas une transmission de renseignements en exécution d'une demande d'entraide judiciaire. Dans le domaine particulier de l'entraide judiciaire, la réserve faite par la Suisse en rapport avec l' art. 2 CEEJ est limitée aux jugements rendus en Suisse. On peut certes se demander si la Suisse pourrait être amenée à refuser sa collaboration en application de l'art. 54 CAAS lorsqu'il apparaît d'emblée que les personnes et les faits poursuivis sont rigoureusement identiques à ceux qui ont déjà fait l'objet d'un jugement d'acquittement prononcé dans un Etat tiers. Tel n'est toutefois pas le cas en l'occurrence, dans la mesure où la procédure pénale en Norvège est également dirigée contre des personnes juridiques distinctes, soit les sociétés contrôlées par C.________. Dans ce cas, l'application du principe "ne bis in idem" doit être laissée à l'appréciation - et à la responsabilité - de l'Etat requérant. Il n'y a dès lors aucune question de principe à résoudre sur ce point.</w:t>
      </w:r>
    </w:p>
    <w:p>
      <w:r>
        <w:rPr>
          <w:b/>
        </w:rPr>
        <w:t>E. 1.4</w:t>
      </w:r>
    </w:p>
    <w:p>
      <w:r>
        <w:t>La recourante estime que la procédure à l'étranger présenterait des défauts graves: certains témoins auraient été présentés aux autorités norvégiennes par un bureau d'avocats qui s'était vu déléguer des pouvoirs d'investigation dans la procédure anglaise et dont l'intervention avait été critiquée par le juge anglais. La simple existence de témoignages sujets à caution ne saurait toutefois constituer un défaut grave que les art. 2 let . d EIMP et 84 al. 2 LTF permettent de sanctionner. L'administration et l'appréciation des preuves sont du ressort des autorités pénales de l'Etat requérant, lequel fait manifestement partie de ceux qui sont censés respecter les standards en matière de procès équitable.</w:t>
      </w:r>
    </w:p>
    <w:p>
      <w:r>
        <w:rPr>
          <w:b/>
        </w:rPr>
        <w:t>E. 1.5</w:t>
      </w:r>
    </w:p>
    <w:p>
      <w:r>
        <w:t>La recourante reproche au MPC de ne pas lui avoir notifié immédiatement sa décision d'entrée en matière autorisant la présence d'enquêteurs étrangers. Elle considère en outre que la présence simultanée d'enquêteurs d'Etats différents autorisés à assister aux actes d'entraide, présenterait un risque d'échange incontrôlé d'informations.</w:t>
      </w:r>
    </w:p>
    <w:p>
      <w:r>
        <w:rPr>
          <w:b/>
        </w:rPr>
        <w:t>E. 1.5.1</w:t>
      </w:r>
    </w:p>
    <w:p>
      <w:r>
        <w:t>Le défaut de notification de l'ordonnance d'entrée en matière ne peut être assimilé à un défaut grave. En effet, dans la mesure où des précautions suffisantes ont été prises conformément à la pratique constante, la présence d'enquêteurs étrangers n'était pas susceptible de causer à la recourante un préjudice immédiat et irréparable au sens de l' art. 80e al. 2 let. b EIMP . Au demeurant, la recourante a eu l'occasion de faire valoir ses arguments à l'encontre de la manière de procéder du MPC, dans le cadre de son recours contre la décision de clôture. L'irrégularité alléguée ne constitue dès lors pas un motif d'entrer en matière.</w:t>
      </w:r>
    </w:p>
    <w:p>
      <w:r>
        <w:rPr>
          <w:b/>
        </w:rPr>
        <w:t>E. 1.5.2</w:t>
      </w:r>
    </w:p>
    <w:p>
      <w:r>
        <w:t>Chargé d'exécuter des demandes d'entraide judiciaire émanant de plusieurs pays, le MPC a autorisé la venue simultanée d'enquêteurs étrangers. Chacun d'entre eux a signé un engagement tendant à ne pas divulguer prématurément des informations; la prise de notes ou de copies a en outre été interdite. Ce mode de procéder est conforme à la pratique relative à l' art 65a EIMP ainsi qu'à l' art. 4 CEEJ , lequel est encore complété par l'art. 2 du deuxième protocole additionnel (RS 0.351.12) dans les termes suivants: "Les demandes visant la présence de ces autorités ou personnes en cause ne devraient pas être refusées lorsqu'une telle présence tend à ce que l'exécution de la demande d'entraide réponde mieux aux besoins de la Partie requérante et, de ce fait, permet d'éviter des demandes d'entraide complémentaires". La recourante ne conteste d'ailleurs pas que ces conditions étaient bien réalisées en l'espèce. Du point de vue de l'autorité suisse d'exécution, la procédure suivie permet d'éviter une transmission intempestive des informations recueillies en Suisse. Il n'est en revanche pas de la compétence de l'autorité d'exécution de prendre des mesures afin d'éviter que des autorités étrangères communiquent entre elles (quelles que soient les circonstances d'un tel échange) des informations qu'elles ont obtenues sans le concours de la Suisse. Il n'y a pas non plus de question de principe à ce propos.</w:t>
      </w:r>
    </w:p>
    <w:p>
      <w:r>
        <w:rPr>
          <w:b/>
        </w:rPr>
        <w:t>E. 2</w:t>
      </w:r>
    </w:p>
    <w:p>
      <w:r>
        <w:t>Sur le vu de ce qui précède, le recours est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