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1C_201/2008 vom 1. Juli 2008</w:t>
      </w:r>
    </w:p>
    <w:p>
      <w:r>
        <w:t>Bundesgericht, 2008-07-01, FR</w:t>
      </w:r>
    </w:p>
    <w:p>
      <w:r>
        <w:rPr>
          <w:b/>
        </w:rPr>
        <w:t xml:space="preserve">Quelle: </w:t>
      </w:r>
      <w:r>
        <w:t>https://mcp.opencaselaw.ch/entscheid/bger_1C_201_2008</w:t>
      </w:r>
    </w:p>
    <w:p>
      <w:r>
        <w:t>FR: TF 1C_201/2008 du 1 juillet 2008</w:t>
      </w:r>
    </w:p>
    <w:p>
      <w:r>
        <w:t>IT: TF 1C_201/2008 del 1 luglio 2008</w:t>
      </w:r>
    </w:p>
    <w:p>
      <w:pPr>
        <w:pStyle w:val="Heading2"/>
      </w:pPr>
      <w:r>
        <w:t>Erwägungen</w:t>
      </w:r>
    </w:p>
    <w:p>
      <w:r>
        <w:rPr>
          <w:b/>
        </w:rPr>
        <w:t>E. 1</w:t>
      </w:r>
    </w:p>
    <w:p>
      <w:r>
        <w:t>L'arrêt entrepris émane du Tribunal administratif fédéral et concerne l'annulation de la naturalisation facilitée accordée à A.________. Il peut faire l'objet d'un recours en matière de droit public (art. 82 al. 1 let. a et 86 al. 1 let. a LTF). Le motif d'exclusion de l' art. 83 let. b LTF n'entre pas en ligne de compte, dès lors qu'il s'agit en l'espèce de naturalisation facilitée et non pas de naturalisation ordinaire (arrêt 1C_85/2007 du 6 septembre 2007 consid. 2). La qualité pour recourir de A.________ au sens de l' art. 89 al. 1 LTF est manifeste. Il n'en va pas de même de celle de son épouse. On ne voit en effet pas quel intérêt juridique B.________ pourrait faire valoir afin de s'opposer à la révocation de la naturalisation facilitée de son époux dont elle vit séparée depuis plus de cinq ans. Vu l'issue du recours sur le fond, cette question peut toutefois demeurer indécise.</w:t>
      </w:r>
    </w:p>
    <w:p>
      <w:r>
        <w:rPr>
          <w:b/>
        </w:rPr>
        <w:t>E. 2</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w:t>
      </w:r>
    </w:p>
    <w:p>
      <w:r>
        <w:t>La nature potestative de l' art. 41 al. 1 LN confère une certaine latitude à l'autorité compétente,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 ATF 130 III 176 consid. 1.2 p. 180).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en déclarant former une communauté stable avec son conjoint ( ATF 130 II 482 consid. 3.2 p. 486).</w:t>
      </w:r>
    </w:p>
    <w:p>
      <w:r>
        <w:rPr>
          <w:b/>
        </w:rPr>
        <w:t>E. 3</w:t>
      </w:r>
    </w:p>
    <w:p>
      <w:r>
        <w:t>Un examen chronologique des faits pertinents de la cause pouvait sans arbitraire conduire l'Office fédéral des migrations puis le Tribunal administratif fédéral à douter que, par son mariage avec B.________, le recourant ait véritablement entendu fonder une communauté conjugale au sens de l' art. 27 LN . La contraction d'un mariage avec une personne de plus de vingt ans son aînée peu après la levée d'une mesure d'admission provisoire dont il bénéficiait depuis plus de trois ans pouvait en effet donner à penser que par ledit mariage le recourant cherchait avant tout à obtenir une autorisation de séjour en Suisse (cf. arrêt 5A.11/2006 du 27 juin 2006 consid. 3.1). Le fait qu'il a déposé une demande de naturalisation facilitée presque trois ans jour pour jour après son mariage et qu'il a entretenu une relation extra-conjugale durable avec une femme de trente cinq ans plus jeune que son épouse quelques mois seulement après leur séparation tendaient à confirmer que la stabilité requise de la communauté conjugale n'existait déjà plus lors du prononcé de la naturalisation facilitée, respectivement au moment de la signature de la déclaration de vie commune. Il leur incombait dès lors de renverser cette présomption en rendant vraisemblable la survenance d'un événement extraordinaire, de nature à expliquer une dégradation aussi rapide du lien conjugal après un peu plus de six ans de mariage, ou en démontrant qu'ils n'avaient pas encore conscience de la gravité des problèmes rencontrés par leur couple au moment de la procédure de naturalisation facilitée ( ATF 130 II 482 consid. 3.2 p. 485/486).</w:t>
      </w:r>
    </w:p>
    <w:p>
      <w:r>
        <w:t>Les recourants soutiennent que leur séparation n'aurait eu d'autre but que celui de satisfaire la volonté exprimée par A.________ d'avoir des enfants et n'impliquait aucune rupture du lien conjugal toujours intact. Ce désir de paternité, auquel B.________ n'était pas en mesure de répondre en raison de son âge, se serait manifesté après la signature de la déclaration commune, au retour d'un voyage de deux semaines que le recourant a effectué dans sa famille en Angola en juillet 2002. En prenant pour épouse une personne de plus de vingt ans son aînée, ayant déjà deux filles d'un premier mariage, A.________ ne pouvait ignorer que la perspective d'avoir des enfants communs était considérablement réduite, voire nulle. On ne voit pas en quoi le voyage effectué dans son pays d'origine en été 2002 aurait été décisif dans sa décision de vouloir des enfants. Il s'agissait au contraire d'une question qui devait inévitablement se poser lorsque les époux ont signé la déclaration de vie commune en février 2002. Si le lien qui les unissait était aussi solide que les époux A.________ et B.________ le prétendent, il aurait dû prévaloir sur la volonté du recourant d'assurer une descendance. Les conjoints auraient également pu songer, le cas échéant, à l'adoption, qui aurait permis de maintenir la communauté de vie du couple et satisfaire le désir de paternité du recourant. Ce dernier élément ne constituait donc pas un événement imprévu susceptible d'expliquer la cessation de la communauté conjugale dans un laps de temps aussi bref, après plus de six ans de mariage. A tout le moins, le Tribunal administratif fédéral n'a pas fait preuve d'arbitraire en admettant qu'il en allait ainsi. Il importe peu que les recourants continuent à entretenir des relations aussi profondes qu'auparavant et n'entendent pas divorcer. Pareilles relations sont inconciliables avec la conception de la communauté conjugale que la loi fédérale sur la nationalité tend à protéger, laquelle implique une communauté de vie étroite, de toit, de table et de lit, qui exclut la coexistence d'une autre relation du même type avec une tierce personne. Les recourants doivent à cet égard assumer les conséquences de leur choix de vie sur la naturalisation facilitée.</w:t>
      </w:r>
    </w:p>
    <w:p>
      <w:r>
        <w:t>Quant au déménagement de la recourante près de Berne après six ans de mariage, il ne pouvait s'expliquer par la seule nécessité de se rapprocher de son lieu de travail et de sa mère malade. Comme le relève à juste titre le Tribunal administratif fédéral, A.________ aurait pu sans difficulté accompagner son épouse à Berne; à tout le moins, on pouvait attendre un tel comportement de la part du recourant si, comme il l'affirme, le lien conjugal était toujours intact. La constitution par l'épouse d'un domicile séparé ne repose donc pas sur des circonstances extraordinaires indépendantes de la volonté du couple qui permettraient d'admettre l'existence d'une communauté conjugale encore intacte au sens de la jurisprudence (cf. ATF 121 II 49 consid. 2b p. 51). La recourante a au surplus fait état lors de son audition d'un besoin de prendre de la distance et de mener à nouveau sa propre vie selon son goût, admettant que la différence d'âge et de culture entre les époux, si elle n'avait jamais constitué un obstacle à leur mariage, avait néanmoins très certainement également joué un rôle dans leur séparation. Le Tribunal administratif fédéral pouvait sans autre y voir un indice supplémentaire du fait que la relation de couple était déjà entamée en février 2002, lorsque les époux A.________ et B.________ ont signé la déclaration concernant la communauté conjugale. Enfin, il importe peu pour l'issue de la cause que la recourante ait été à l'origine de la procédure de séparation. Ce fait repose au demeurant sur les seules déclarations des recourants, lesquelles sont contredites par les pièces du dossier qui tendent à établir que le jugement du 17 novembre 2003 prononçant la séparation de corps des époux A.________ et B.________ fait suite à une requête commune des conjoints.</w:t>
      </w:r>
    </w:p>
    <w:p>
      <w:r>
        <w:t>Les conditions d'application de l' art. 41 LN sont donc réunies et l'Office des migrations, puis le Tribunal administratif fédéral, n'ont nullement abusé de leur pouvoir d'appréciation en annulant la naturalisation facilitée accordée au recourant.</w:t>
      </w:r>
    </w:p>
    <w:p>
      <w:r>
        <w:rPr>
          <w:b/>
        </w:rPr>
        <w:t>E. 4</w:t>
      </w:r>
    </w:p>
    <w:p>
      <w:r>
        <w:t>Il s'ensuit que le recours doit être rejeté dans la mesure où il est recevable, aux frais de leurs auteurs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