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200/2011 vom 5. September 2011</w:t>
      </w:r>
    </w:p>
    <w:p>
      <w:r>
        <w:t>Bundesgericht, 2011-09-05, DE</w:t>
      </w:r>
    </w:p>
    <w:p>
      <w:r>
        <w:rPr>
          <w:b/>
        </w:rPr>
        <w:t xml:space="preserve">Quelle: </w:t>
      </w:r>
      <w:r>
        <w:t>https://mcp.opencaselaw.ch/entscheid/bger_1C_200_2011</w:t>
      </w:r>
    </w:p>
    <w:p>
      <w:r>
        <w:t>FR: TF 1C 200/2011 du 5 septembre 2011</w:t>
      </w:r>
    </w:p>
    <w:p>
      <w:r>
        <w:t>IT: TF 1C 200/2011 del 5 settembre 2011</w:t>
      </w:r>
    </w:p>
    <w:p>
      <w:pPr>
        <w:pStyle w:val="Heading2"/>
      </w:pPr>
      <w:r>
        <w:t>Regeste</w:t>
      </w:r>
    </w:p>
    <w:p>
      <w:r>
        <w:t>Baubewilligung; brandschutztechnische Auflagen | Raumplanung und öffentliches Baurecht</w:t>
      </w:r>
    </w:p>
    <w:p>
      <w:pPr>
        <w:pStyle w:val="Heading2"/>
      </w:pPr>
      <w:r>
        <w:t>Erwägungen</w:t>
      </w:r>
    </w:p>
    <w:p>
      <w:r>
        <w:rPr>
          <w:b/>
        </w:rPr>
        <w:t>E. 1</w:t>
      </w:r>
    </w:p>
    <w:p>
      <w:r>
        <w:t>Angefochten ist ein kantonal letztinstanzlicher ( Art. 86 Abs. 1 lit. d BGG ) Entscheid in einer Bausache und damit in einer öffentlich-rechtlichen Angelegenheit im Sinne von Art. 82 lit. a BGG . Ein Ausschlussgrund nach Art. 83 BGG besteht nicht. Als Verfügungsadressatin und Eigentümerin der Liegenschaft, auf welche sich die Brandschutzauflagen beziehen, ist die Beschwerdeführerin im Sinne von Art. 89 Abs. 1 BGG beschwerdebefugt. Auf die Beschwerde ist grundsätzlich einzutreten.</w:t>
      </w:r>
    </w:p>
    <w:p>
      <w:r>
        <w:rPr>
          <w:b/>
        </w:rPr>
        <w:t>E. 2.1</w:t>
      </w:r>
    </w:p>
    <w:p>
      <w:r>
        <w:t>Eine Verfügung, mit der ein früherer, rechtskräftiger Entscheid vollzogen oder ohne sachliche Überprüfung bestätigt wird, kann grundsätzlich nur soweit angefochten werden, als die gerügte Rechtswidrigkeit in der Vollstreckungsverfügung selbst begründet ist. Grundsätzlich ausgeschlossen ist die Rüge, die frühere (materielle) Verfügung sei rechtswidrig. Eine solche Rüge ist verspätet. Eine Ausnahme von diesem Grundsatz macht das Bundesgericht allenfalls dann, wenn eine beschwerdeführende Person die Verletzung von unverzichtbaren oder unverjährbaren Grundrechten geltend macht oder wenn die Nichtigkeit der ursprünglichen Verfügung zur Diskussion steht (unter bisherigem Recht vgl. BGE 129 I 410 E. 1.1 S. 412). Die in Art. 101 lit. c aOG enthaltene Regel, wonach ein Vollstreckungsakt nicht angefochten werden kann, ist im BGG nicht ausdrücklich aufgenommen worden, ergibt sich aber daraus, dass kein schutzwürdiges Interesse daran bestehen kann, ein Staatshandeln, welches bloss einen rechtskräftigen Entscheid vollstreckt, erneut anzufechten. Die Rechtsprechung zum bisherigen Bundesrechtspflegegesetz, wonach das materielle Urteil im Rahmen der Anfechtung des Vollzugsaktes grundsätzlich nicht überprüft werden kann, gilt auch unter neuem Recht (Urteil 8C_300/2008 vom 28. November 2008 E. 3; vgl. zudem Urteil 1C_399/2009 vom 8. Dezember 2009 E. 1.5).</w:t>
      </w:r>
    </w:p>
    <w:p>
      <w:r>
        <w:rPr>
          <w:b/>
        </w:rPr>
        <w:t>E. 2.2</w:t>
      </w:r>
    </w:p>
    <w:p>
      <w:r>
        <w:t>Die Verfügung der Solothurnischen Gebäudeversicherung vom 6. Oktober 2009 dient dem Vollzug der in der Verfügung vom 2. Mai 2007 angeordneten Brandschutzauflage, wonach pro Raum (Galerie, Schlafzimmer und Büro) wenigstens eines der Dachflächenfenster eine Grösse von mindestens 78x118 cm aufzuweisen hat. In dieser Konstellation sind mithin nur Einwände gegen die Rechtmässigkeit der Vollstreckungsverfügung selber zulässig, ausser die materielle Verfügung wäre - wie die Beschwerdeführerin vorbringt - geradezu nichtig.</w:t>
      </w:r>
    </w:p>
    <w:p>
      <w:r>
        <w:rPr>
          <w:b/>
        </w:rPr>
        <w:t>E. 2.3</w:t>
      </w:r>
    </w:p>
    <w:p>
      <w:r>
        <w:t>Fehlerhafte Entscheide sind nach der bundesgerichtlichen Rechtsprechung nichtig, wenn der ihnen anhaftende Mangel besonders schwer wiegt,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133 II 366 E. 3.2 S. 367). Die Gebäudeversicherung ist mit dem Vollzug der Brandverhütungsvorschriften betraut. Sie übt die Aufsicht über das Brandverhütungswesen aus und trifft zum Schutz von Personen und Sachen alle Massnahmen, welche zur Verhütung und Einschränkung von Brandausbrüchen und Explosionen nötig sind (§ 59 des Gebäudeversicherungsgesetzes des Kantons Solothurn vom 24. September 1972 [GVG/SO; BGS/SO 618.111] i.V.m § 38 der Vollzugsverordnung zum Gebäudeversicherungsgesetz des Kantons Solothurn vom 13. Januar 1987 [VV/SO; BGS/SO 618.112]). Die Verfügung vom 2. Mai 2007 ist somit von der zuständigen Behörde erlassen worden. In der Verfügung vom 2. Mai 2007 wird ausdrücklich auf die von der Beschwerdeführerin am 23. April 2007 eingereichten Projektpläne Bezug genommen. Der Umstand, dass die Verfügung erst rund drei Jahre nach der Bauversicherungsanmeldung der früheren Eigentümer und erst rund eineinhalb Jahre nach der Bauabnahme ergangen ist, führt entgegen der Auffassung der Beschwerdeführerin nicht zur Nichtigkeit, liegt doch darin jedenfalls kein krasser Verfahrensfehler begründet. Ebenso wenig weist die Verfügung gravierende inhaltliche Mängel auf. Nicht einsichtig ist im Übrigen, weshalb die Verfügung - wie die Beschwerdeführerin geltend macht - nur für künftige Bauvorhaben gelten sollte. Die keineswegs nichtige Verfügung vom 2. Mai 2007 ist damit mangels Anfechtung in Rechtskraft erwachsen, und die von der Beschwerdeführerin gegen die Rechtmässigkeit der verfügten Brandschutzauflagen erhobenen Einwände sind verspätet. Folglich ist auch nicht auf das Rechtsbegehren der Beschwerdeführerin einzugehen, es sei zu klären, ob die Gebäudeversicherung aufgrund ihres späten Einschreitens schadenersatzpflichtig werde.</w:t>
      </w:r>
    </w:p>
    <w:p>
      <w:r>
        <w:rPr>
          <w:b/>
        </w:rPr>
        <w:t>E. 2.4</w:t>
      </w:r>
    </w:p>
    <w:p>
      <w:r>
        <w:t>Zu prüfen sind die gegen die Rechtmässigkeit der Vollstreckungsverfügung vom 6. Oktober 2009 vorgebrachten Rügen. Soweit sich die Beschwerdeführerin zwecks Verhinderung der Vollstreckung unter Hinweis auf die ihren Rechtsvorgängern gemachten Zugeständnisse sinngemäss auf einen Anspruch auf Gleichbehandlung im Unrecht beruft, dringt sie mit ihrer Beschwerde nicht durch. Ein Anspruch auf Gleichbehandlung im Unrecht wird nach der bundesgerichtlichen Rechtsprechung nur ausnahmsweise anerkannt, nämlich wenn eine ständige rechtswidrige Praxis einer rechtsanwendenden Behörde vorliegt und die Behörde zu erkennen gibt, dass sie auch in Zukunft nicht von dieser Praxis abzuweichen gedenke ( BGE 136 I 65 E. 5.6 S. 78). Diese Voraussetzungen sind vorliegend offensichtlich nicht erfüllt. Schliesslich ist die von der Gebäudeversicherung in der Verfügung vom 6. Oktober 2009 bestimmte Umsetzungsfrist von über sechs Monaten entgegen dem nicht näher substanziierten Vorbringen der Beschwerdeführerin als angemessen zu beurteilen; nicht zu beanstanden ist auch die von der Vorinstanz neu angesetzte Frist von drei Monaten ab Entscheiddatum.</w:t>
      </w:r>
    </w:p>
    <w:p>
      <w:r>
        <w:rPr>
          <w:b/>
        </w:rPr>
        <w:t>E. 3</w:t>
      </w:r>
    </w:p>
    <w:p>
      <w:r>
        <w:t>Zusammenfassend ist die Beschwerde abzuweisen, soweit darauf eingetreten werden kann. Da der von der Vorinstanz festgelegte Stichtag für die Umsetzung abgelaufen ist, ist eine neue Frist bis zum 31. Dezember 2011 anzusetzen. Bei diesem Ausgang des Verfahrens trägt die Beschwerdeführerin die Gerichtskosten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