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1C_200/2008 vom 28. November 2008</w:t>
      </w:r>
    </w:p>
    <w:p>
      <w:r>
        <w:t>Bundesgericht, 2008-11-28, DE</w:t>
      </w:r>
    </w:p>
    <w:p>
      <w:r>
        <w:rPr>
          <w:b/>
        </w:rPr>
        <w:t xml:space="preserve">Quelle: </w:t>
      </w:r>
      <w:r>
        <w:t>https://mcp.opencaselaw.ch/entscheid/bger_1C_200_2008</w:t>
      </w:r>
    </w:p>
    <w:p>
      <w:r>
        <w:t>FR: TF 1C_200/2008 du 28 novembre 2008</w:t>
      </w:r>
    </w:p>
    <w:p>
      <w:r>
        <w:t>IT: TF 1C_200/2008 del 28 novembre 2008</w:t>
      </w:r>
    </w:p>
    <w:p>
      <w:pPr>
        <w:pStyle w:val="Heading2"/>
      </w:pPr>
      <w:r>
        <w:t>Erwägungen</w:t>
      </w:r>
    </w:p>
    <w:p>
      <w:r>
        <w:rPr>
          <w:b/>
        </w:rPr>
        <w:t>E. 1</w:t>
      </w:r>
    </w:p>
    <w:p>
      <w:r>
        <w:t>Das Bundesgericht prüft die Zulässigkeit der Beschwerden von Amtes wegen ( Art. 29 Abs. 1 BGG ; BGE 133 II 249 E. 1.1 S. 251).</w:t>
      </w:r>
    </w:p>
    <w:p>
      <w:r>
        <w:rPr>
          <w:b/>
        </w:rPr>
        <w:t>E. 1.1</w:t>
      </w:r>
    </w:p>
    <w:p>
      <w:r>
        <w:t>Das angefochtene Urteil des Verwaltungsgerichts ist ein Entscheid einer letzten kantonalen Instanz ( Art. 86 Abs. 1 lit. d BGG ). Ihm liegt ein Beschwerdeverfahren über eine baurechtliche Bewilligung und damit eine öffentlich-rechtliche Angelegenheit im Sinne von Art. 82 lit. a BGG zu Grunde. Ein Ausschlussgrund nach Art. 83 BGG liegt nicht vor.</w:t>
      </w:r>
    </w:p>
    <w:p>
      <w:r>
        <w:rPr>
          <w:b/>
        </w:rPr>
        <w:t>E. 1.2.1</w:t>
      </w:r>
    </w:p>
    <w:p>
      <w:r>
        <w:t>Mit dem angefochtenen Entscheid des Verwaltungsgerichts wurde eine Beschwerde gegen einen Rekursentscheid des Departements abgewiesen, mit welchem der Entscheid des Gemeinderates Roggwil, die nachgesuchte Baubewilligung zu verweigern, aufgehoben und der Gemeinderat angewiesen worden war, die Baubewilligung zu erteilen. Falls der Entscheid des Verwaltungsgerichts vom Bundesgericht bestätigt wird, ist das von der Beschwerdegegnerin bei der Politischen Gemeinde Roggwil mit Baugesuch vom 4. Dezember 2006 eingeleitete Baubewilligungsverfahren demnach wieder aufzunehmen. Das Baubewilligungsverfahren ist somit noch nicht abgeschlossen. Es liegt deshalb nicht ein Endentscheid über die Baubewilligung im Sinne von Art. 90 BGG vor, sondern ein Zwischenentscheid im Sinne von Art. 93 Abs. 1 BGG .</w:t>
      </w:r>
    </w:p>
    <w:p>
      <w:r>
        <w:rPr>
          <w:b/>
        </w:rPr>
        <w:t>E. 1.2.2</w:t>
      </w:r>
    </w:p>
    <w:p>
      <w:r>
        <w:t>Gegen Zwischenentscheide der vorliegenden Art ist nach Art. 93 Abs. 1 lit. a BGG die Beschwerde zulässig, wenn der angefochtene Entscheid einen nicht wieder gutzumachenden Nachteil bewirken kann. Dass den Beschwerdeführern durch den angefochtenen Entscheid ein nicht wieder gutzumachender Nachteil im Sinne von Art. 93 Abs. 1 lit. a BGG entstehen könnte, wird nicht geltend gemacht und ist auch nicht ersichtlich (vgl. BGE 134 II 137 E. 1.3.1 S. 139 f. mit Hinweisen). Allfällige Nachteile für die Beschwerdeführer können auch noch mit einer bundesgerichtlichen Beurteilung des Endentscheids behoben werden.</w:t>
      </w:r>
    </w:p>
    <w:p>
      <w:r>
        <w:rPr>
          <w:b/>
        </w:rPr>
        <w:t>E. 1.2.3</w:t>
      </w:r>
    </w:p>
    <w:p>
      <w:r>
        <w:t>Gemäss Art. 93 Abs. 1 lit. b BGG ist gegen (andere) selbständig eröffnete Vor- und Zwischenentscheide die Beschwerde zulässig, wenn die Gutheissung der Beschwerde sofort einen Endentscheid herbeiführen und damit einen bedeutenden Aufwand an Zeit oder Kosten für ein weitläufiges Beweisverfahren ersparen würde. Diese Bestimmung gibt die früher in Art. 50 Abs. 1 OG verankerte Regelung wieder, die für das zivilrechtliche Verfahren vor Bundesgericht galt (vgl. Botschaft zum BGG in BBl 2001 S. 4334; BGE 133 II 409 E. 1.2 S. 411 f., 629 E. 2.4 S. 633; 133 IV 288 E. 3.2 S. 292). Ob die Voraussetzungen von Art. 93 Abs. 1 lit. b BGG erfüllt sind, prüft das Bundesgericht frei (vgl. BGE 133 II 409 E. 1.2 S. 411 f.; 133 IV 288 E. 3.2 S. 292; 118 II 91 E. 1a S. 92).</w:t>
      </w:r>
    </w:p>
    <w:p>
      <w:r>
        <w:t>Würde das Bundesgericht vorliegend in Gutheissung der Beschwerde zum Schluss gelangen, die geplante Mobilfunkantenne verstosse gegen Art. 3 Abs. 1 NHG und könne daher nicht bewilligt werden, wäre das Verfahren endgültig abgeschlossen. Damit ist die erste Voraussetzung von Art. 93 Abs. 1 lit. b BGG erfüllt.</w:t>
      </w:r>
    </w:p>
    <w:p>
      <w:r>
        <w:t>Als zweite kumulative Voraussetzung verlangt Art. 93 Abs. 1 lit. b BGG , dass mit der Behandlung der Beschwerde gegen den Zwischenentscheid ein bedeutender Aufwand an Zeit oder Kosten für ein weitläufiges Beweisverfahren erspart würde. Falls die Politische Gemeinde Roggwil das von der Beschwerdegegnerin eingeleitete Baubewilligungsverfahren wieder aufzunehmen hätte, hätte sie gemäss Erwägung 3 des Rekursentscheids des Departements vom 23. Juli 2007 insbesondere noch Fragen betreffend Ausgestaltung der strittigen Antenne zu regeln. Da diese Infrastrukturanlage jedoch weitgehend nach technischen Vorgaben auszugestalten ist, können dabei gemäss Rekursentscheid keine hohen ästhetischen Anforderungen gestellt werden. Zudem sind die zu treffenden Massnahmen mit der Beschwerdegegnerin bereits im Wesentlichen besprochen worden (Farbgebung, Begrünung). Somit bestehen keine Anhaltspunkte, dass in Bezug auf die Ausgestaltung der strittigen Mobilfunkantenne noch ein aufwendiges Beweisverfahren durchgeführt werden müsste. Die rein theoretische Möglichkeit, dass im weiteren Verfahren neue Beweisanträge gestellt werden, genügt für die Anerkennung der Voraussetzungen gemäss Art. 93 Abs. 1 lit. b BGG nicht, zumal nicht vorgebracht wird, dass noch kostspielige Abklärungen erforderlich wären (vgl. BGE 133 III 629 E. 2.4.2 S. 634).</w:t>
      </w:r>
    </w:p>
    <w:p>
      <w:r>
        <w:rPr>
          <w:b/>
        </w:rPr>
        <w:t>E. 2</w:t>
      </w:r>
    </w:p>
    <w:p>
      <w:r>
        <w:t>Auf die Beschwerde kann daher nicht eingetreten werden.</w:t>
      </w:r>
    </w:p>
    <w:p>
      <w:r>
        <w:t>Dem Ausgang des vorliegenden Verfahrens entsprechend sind die Gerichtskosten den Beschwerdeführern aufzuerlegen ( Art. 66 Abs. 1 und 5 BGG ). Gemäss Art. 68 Abs. 2 BGG hat die unterliegende Partei in der Regel der obsiegenden alle durch den Rechtsstreit verursachten notwendigen Kosten zu ersetzen. Nach der bundesgerichtlichen Praxis haben obsiegende Parteien grundsätzlich nur dann Anspruch auf eine Parteientschädigung, wenn sie durch einen externen Anwalt vertreten sind, und deshalb tatsächlich Anwaltskosten anfallen. Parteien, die sich wie die Beschwerdegegnerin durch ihren Rechtsdienst vertreten lassen, wird daher regelmässig keine Parteientschädigung zugesprochen (vgl. Urteil des Bundesgerichts 1P.68/2007 vom 17. August 2007 E. 5). Da die private Beschwerdegegnerin nicht durch einen externen Anwalt vertreten wurde, ist ihr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