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1C_1/2025 vom 28. Januar 2025</w:t>
      </w:r>
    </w:p>
    <w:p>
      <w:r>
        <w:t>Bundesgericht, 2025-01-28, DE</w:t>
      </w:r>
    </w:p>
    <w:p>
      <w:r>
        <w:rPr>
          <w:b/>
        </w:rPr>
        <w:t xml:space="preserve">Quelle: </w:t>
      </w:r>
      <w:r>
        <w:t>https://mcp.opencaselaw.ch/entscheid/bger_1C_1_2025</w:t>
      </w:r>
    </w:p>
    <w:p>
      <w:r>
        <w:t>FR: TF 1C_1/2025 du 28 janvier 2025</w:t>
      </w:r>
    </w:p>
    <w:p>
      <w:r>
        <w:t>IT: TF 1C_1/2025 del 28 gennaio 2025</w:t>
      </w:r>
    </w:p>
    <w:p>
      <w:pPr>
        <w:pStyle w:val="Heading2"/>
      </w:pPr>
      <w:r>
        <w:t>Erwägungen</w:t>
      </w:r>
    </w:p>
    <w:p>
      <w:r>
        <w:rPr>
          <w:b/>
        </w:rPr>
        <w:t>E. 1</w:t>
      </w:r>
    </w:p>
    <w:p>
      <w:r>
        <w:t>A.________ erstattete am 9. September 2024 bei der Kantonspolizei St. Gallen Strafanzeige gegen B.________, wegen Verletzung des Amtsgeheimnisses. Das Untersuchungsamt St. Gallen leitete die Strafanzeige zur Durchführung des Ermächtigungsverfahrens an die Anklagekammer des Kantons St. Gallen weiter. Mit Entscheid vom 28. November 2024 verweigerte die Anklagekammer die Ermächtigung zur Eröffnung eines Strafverfahrens gegen B.________.</w:t>
      </w:r>
    </w:p>
    <w:p>
      <w:r>
        <w:rPr>
          <w:b/>
        </w:rPr>
        <w:t>E. 2</w:t>
      </w:r>
    </w:p>
    <w:p>
      <w:r>
        <w:t>Mit Eingabe vom 27. Dezember 2024 erhebt A.________ beim Bundesgericht Beschwerde gegen den Entscheid der Anklagekammer vom 28. November 2024. Er beantragt hauptsächlich die Aufhebung des Entscheids und die Erteilung der Ermächtigung.</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einlässlich begründet, wieso unter den gegebenen Umständen nicht ansatzweise ersichtlich sei, dass der Beschwerdegegner mit seiner Kommunikation mit der Mutter des Beschwerdeführers oder als Vorgesetzter der damaligen Leiterin des städtischen Einwohneramts wegen deren Kommunikation mit der Krankenkasse des Beschwerdeführers zu dessen Nachteil den Straftatbestand der Amtsgeheimnisverletzung ( Art. 320 StGB ) erfüllt habe, und die Ermächtigung deshalb zu verweigern sei. Der Beschwerdeführer setzt sich vor Bundesgericht mit den Erwägungen der Vorinstanz nicht näher und sachgerecht auseinander und legt nicht konkret und im Einzelnen dar, inwiefern die Begründung der Vorinstanz bzw. deren Entscheid Recht im Sinne von Art. 42 Abs. 2 BGG verletzen würde. Er begnügt sich im Wesentlichen damit, auf der Grundlage seiner als allein richtig vorausgesetzten eigenen Sicht der Dinge eine Amtsgeheimnisverletzung zu behaupten sowie weitere Rügen, namentlich der Verletzung der rechtlichen Gehörs, der unzureichenden Abklärung des Sachverhalts und der Missachtung seiner aus gesundheitlichen Gründen angeblich besonderen Schutzbedürftigkeit, zu erheben, ohne seine Vorbringen zu substanziieren. Seine im Wesentlichen appellatorische Kritik am angefochtenen Entscheid genügt den Begründungsanforderungen offensichtlich nicht. Damit ist im vereinfachten Verfahren nach Art. 108 Abs. 1 BGG nicht auf die Beschwerde einzutreten, zumal der (ergänzende) Antrag des Beschwerdeführers auf Zusprechung einer angemessenen Entschädigung und Genugtuung für die angeblich erlittene Persönlichkeitsverletzung über den Gegenstand des angefochtenen Entscheids und damit den zulässigen Gegenstand des vorliegenden Verfahrens hinausgeht.</w:t>
      </w:r>
    </w:p>
    <w:p>
      <w:r>
        <w:rPr>
          <w:b/>
        </w:rPr>
        <w:t>E. 4</w:t>
      </w:r>
    </w:p>
    <w:p>
      <w:r>
        <w:t>Bei diesem Verfahrensausgang ist der Beschwerdeführer an sich kostenpflichtig; auf eine Kostenerhebung kann aber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