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1C_1/2011 vom 7. Januar 2011</w:t>
      </w:r>
    </w:p>
    <w:p>
      <w:r>
        <w:t>Bundesgericht, 2011-01-07, IT</w:t>
      </w:r>
    </w:p>
    <w:p>
      <w:r>
        <w:rPr>
          <w:b/>
        </w:rPr>
        <w:t xml:space="preserve">Quelle: </w:t>
      </w:r>
      <w:r>
        <w:t>https://mcp.opencaselaw.ch/entscheid/bger_1C_1_2011</w:t>
      </w:r>
    </w:p>
    <w:p>
      <w:r>
        <w:t>FR: TF 1C_1/2011 du 7 janvier 2011</w:t>
      </w:r>
    </w:p>
    <w:p>
      <w:r>
        <w:t>IT: TF 1C_1/2011 del 7 gennaio 2011</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I ricorrenti sostengono che si sarebbe in presenza di un caso particolarmente importante perché l'autorità richiedente si sarebbe disinteressata della rogatoria, che si manifesta pertanto non più sorretta da un interesse pratico e attuale e perché il processo all'estero avrebbe ormai passato lo stadio del primo grado. L'assunto non regge.</w:t>
      </w:r>
    </w:p>
    <w:p>
      <w:r>
        <w:rPr>
          <w:b/>
        </w:rPr>
        <w:t>E. 2.2</w:t>
      </w:r>
    </w:p>
    <w:p>
      <w:r>
        <w:t>L'istanza precedente ha infatti rettamente ricordato che una rogatoria diventa priva d'oggetto quando lo Stato richiedente la ritira espressamente oppure se la procedura estera si è nel frattempo conclusa con una sentenza passata in giudicato, ciò che non si verifica per il "giudizio abbreviato a seguito di udienza preliminare". Su questo punto, sul quale insistono i ricorrenti, essa non si è affatto scostata dalla giurisprudenza costante (circa decisioni di condanna di primo grado o fondate sul rito abbreviato, il Tribunale federale si è peraltro già pronunciato: sentenze 1A.407/1996 del 24 giugno 1997 consid. 3; 1A.232/1997 del 29 agosto 1997 consid. 2a; cfr. anche DTF 123 II 153 consid 5).</w:t>
      </w:r>
    </w:p>
    <w:p>
      <w:r>
        <w:rPr>
          <w:b/>
        </w:rPr>
        <w:t>E. 2.3</w:t>
      </w:r>
    </w:p>
    <w:p>
      <w:r>
        <w:t>Neppure la criticata circostanza che la rogatoria sarebbe stata provocata dalla Svizzera, per il tramite di una comunicazione spontanea trasmessa dal MPC all'Italia, costituisce un caso particolarmente importante. In effetti, su questo punto, la II CRP ha chiaramente illustrato perché, sulla base della normativa svizzera, dei trattati internazionali applicabili e della dottrina, la trasmissione a determinate condizioni di coordinate di un conto bancario, ma non dei relativi documenti, non viola le norme vigenti nella materia in esame. Anche al riguardo non si pone pertanto una questione giuridica di principio.</w:t>
      </w:r>
    </w:p>
    <w:p>
      <w:r>
        <w:rPr>
          <w:b/>
        </w:rPr>
        <w:t>E. 2.4</w:t>
      </w:r>
    </w:p>
    <w:p>
      <w:r>
        <w:t>I ricorrenti contestano poi l'utilità potenziale dei documenti litigiosi, sostenendo che non vi sarebbe alcuna relazione temporale tra i fatti oggetto di indagine all'estero e gli averi depositati sui loro conti, riconducibili a risparmi privati di lunga data. Ora, anche in tale ambito, l'istanza precedente ha applicato l'invalsa prassi. Del resto, in sostanza, i ricorrenti non criticano tanto il fatto ch'essa si sarebbe scostata dalla giurisprudenza costante ( DTF 133 IV 131 consid. 3, 215 consid. 1.2; 136 IV 16 consid. 1 inedito), ma piuttosto, in maniera peraltro generica, la prassi vigente nell'ambito dell'assistenza giudiziaria internazionale in materia penale. D'altra parte, la II CRP, applicando correttamente il principio di proporzionalità, ritenuta la contraddittorietà della confisca pronunciata nel giudizio di primo grado estero, che non accenna ai valori patrimoniali sequestrati in Svizzera, ha ordinato al MPC di invitare l'autorità richiedente a pronunciarsi, entro 90 giorni dalla crescita in giudicato della propria sentenza, sulle richieste di mantenere il sequestro dei conti litigiosi.</w:t>
      </w:r>
    </w:p>
    <w:p>
      <w:r>
        <w:rPr>
          <w:b/>
        </w:rPr>
        <w:t>E. 2.5</w:t>
      </w:r>
    </w:p>
    <w:p>
      <w:r>
        <w:t>Infine, neppure le asserite lesioni riguardo alla mancata sospensione della procedura, del diritto di essere sentito, dell'abuso di diritto e del modo di procedere del MPC, critiche che misconoscono in parte le specificità della procedura d'assistenza rispetto a quella penale, dimostrano che si sarebbe in presenza di un caso particolarmente importante. La circostanza che si tratterebbe del primo caso relativo alla "Ndrangheta" è ininfluente, ritenuto ch'esso non si differenzia sostanzialmente da altre analoghe cause concernenti reati ascritti ad associazioni a delinquere di stampo mafioso.</w:t>
      </w:r>
    </w:p>
    <w:p>
      <w:r>
        <w:rPr>
          <w:b/>
        </w:rPr>
        <w:t>E. 3.1</w:t>
      </w:r>
    </w:p>
    <w:p>
      <w:r>
        <w:t>Ne segue che il ricorso è inammissibile. Contrariamente all'assunto ricorsuale, non vi sono motivi per rinunciare a prelevare spese, che seguono pertanto la soccombenza ( art. 66 cpv. 1 LTF ).</w:t>
      </w:r>
    </w:p>
    <w:p>
      <w:r>
        <w:rPr>
          <w:b/>
        </w:rPr>
        <w:t>E. 3.2</w:t>
      </w:r>
    </w:p>
    <w:p>
      <w:r>
        <w:t>La domanda di conferimento dell'effetto sospensivo al ricorso era superflua, ricordato ch'esso ha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