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1/2010 vom 23. März 2010</w:t>
      </w:r>
    </w:p>
    <w:p>
      <w:r>
        <w:t>Bundesgericht, 2010-03-23, FR</w:t>
      </w:r>
    </w:p>
    <w:p>
      <w:r>
        <w:rPr>
          <w:b/>
        </w:rPr>
        <w:t xml:space="preserve">Quelle: </w:t>
      </w:r>
      <w:r>
        <w:t>https://mcp.opencaselaw.ch/entscheid/bger_1C_1_2010</w:t>
      </w:r>
    </w:p>
    <w:p>
      <w:r>
        <w:t>FR: TF 1C 1/2010 du 23 mars 2010</w:t>
      </w:r>
    </w:p>
    <w:p>
      <w:r>
        <w:t>IT: TF 1C 1/2010 del 23 marzo 2010</w:t>
      </w:r>
    </w:p>
    <w:p>
      <w:pPr>
        <w:pStyle w:val="Heading2"/>
      </w:pPr>
      <w:r>
        <w:t>Regeste</w:t>
      </w:r>
    </w:p>
    <w:p>
      <w:r>
        <w:t>annulation de la naturalisation facilitée | Droit de cité et droit des étrangers</w:t>
      </w:r>
    </w:p>
    <w:p>
      <w:pPr>
        <w:pStyle w:val="Heading2"/>
      </w:pPr>
      <w:r>
        <w:t>Erwägungen</w:t>
      </w:r>
    </w:p>
    <w:p>
      <w:r>
        <w:rPr>
          <w:b/>
        </w:rPr>
        <w:t>E. 1</w:t>
      </w:r>
    </w:p>
    <w:p>
      <w:r>
        <w:t>Dirigé contre la décision du Tribunal administratif fédéral qui confirme l'annulation de la naturalisation facilitée accordée à la recourante,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la recourante a la qualité pour recourir au sens de l' art. 89 al. 1 LTF et les conditions formelles de recevabilité sont remplies, de sorte qu'il y a lieu d'entrer en matière.</w:t>
      </w:r>
    </w:p>
    <w:p>
      <w:r>
        <w:rPr>
          <w:b/>
        </w:rPr>
        <w:t>E. 2</w:t>
      </w:r>
    </w:p>
    <w:p>
      <w:r>
        <w:t>La recourante conteste avoir obtenu la naturalisation par des déclarations mensongères et reproche au Tribunal administratif fédéral d'avoir abusé de son pouvoir d'appréciation dans l'examen des éléments fondant le retrait de la naturalisation et d'avoir ainsi rendu une décision arbitraire, contraire au but de la loi fédérale du 29 septembre 1952 sur l'acquisition et la perte de la nationalité suisse (LN; RS 141.0) et au principe de la proportionnalité.</w:t>
      </w:r>
    </w:p>
    <w:p>
      <w:r>
        <w:rPr>
          <w:b/>
        </w:rPr>
        <w:t>E. 2.1</w:t>
      </w:r>
    </w:p>
    <w:p>
      <w:r>
        <w:t>Conformément aux art. 41 al. 1 LN et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w:t>
      </w:r>
    </w:p>
    <w:p>
      <w:r>
        <w:rPr>
          <w:b/>
        </w:rPr>
        <w:t>E. 2.1.1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1C_406/2009 du 28 octobre 2009 consid. 3.1.1 et l'arrêt cité).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128 II 97 consid. 4a p. 101 et les arrêts cités).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 121 II 49 consid. 2b p. 52).</w:t>
      </w:r>
    </w:p>
    <w:p>
      <w:r>
        <w:rPr>
          <w:b/>
        </w:rPr>
        <w:t>E. 2.1.2</w:t>
      </w:r>
    </w:p>
    <w:p>
      <w:r>
        <w:t>La procédure administrative fédérale est régie par le principe de la libre appréciation des preuves (art. 40 de la loi fédérale de procédure civile fédérale du 4 décembre 1947 [PCF; RS 273], applicable par renvoi de l'art. 19 de la loi fédérale du 20 décembre 1968 sur la procédure administrative [PA; RS 172.021]).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 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2.2</w:t>
      </w:r>
    </w:p>
    <w:p>
      <w:r>
        <w:t>En l'espèce, le Tribunal administratif fédéral a considéré que le laps de temps relativement court entre la déclaration commune (décembre 2003), l'octroi de la naturalisation (avril 2004), l'introduction de mesures protectrices de l'union conjugale (mai 2004), le départ de l'ex-époux de la recourante du logement familial (entre avril et juin 2004) et le dépôt de la requête de divorce (novembre 2004) fondait la présomption que la naturalisation facilitée avait été obtenue frauduleusement. Pour l'instance précédente, cette présomption est renforcée par différents éléments qui prouvent que le couple ne vivait plus en parfaite harmonie: des différends d'ordre financier seraient survenus dès le mariage; les ex-époux se sont réciproquement reproché des violences conjugales et ont songé à plusieurs reprises à se séparer (en 1999 déjà, suite à une dispute qui avait nécessité l'intervention de la police); le jugement civil du 16 juillet 2004 a constaté qu'une grande tension régnait entre les époux; au cours de la vie commune, la recourante se rendait plusieurs fois par année en Afrique, sans que son ex-conjoint l'accompagne pour des raisons professionnelles; B.________ a refait sa vie avec rapidité, engendrant deux enfants nés en janvier 2006 au Congo et une fille née en juillet 2006, dont il a épousé la mère en janvier 2008. La recourante ne discute pas vraiment cette présomption de fait, laquelle peut du reste effectivement se fonder sur un enchaînement rapide des événements. Conformément à la jurisprudence précitée, il s'agit donc uniquement de déterminer si l'intéressée est parvenue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2.3</w:t>
      </w:r>
    </w:p>
    <w:p>
      <w:r>
        <w:t>Dans son écriture, la recourante se borne à affirmer que c'est à tort que le Tribunal administratif fédéral n'a pas considéré comme déterminant pour renverser la présomption le fait que B.________ s'était rendu au marché de Noël de Schaffhouse en décembre 2003 où la recourante tenait un stand de vente d'objets d'origine africaine et qu'il l'avait accompagnée à Salzbourg en avril 2004. Le fait que B.________ avait rempli la déclaration à la douane pour le compte de la recourante le 8 janvier 2004 ainsi que le fait qu'il avait requis un visa Schengen en faveur du fils de son ex-épouse le 7 avril 2004 seraient également à même de prouver l'existence d'une véritable communauté conjugale. Si ces éléments peuvent tendre à confirmer l'apparence d'un couple uni, comme l'a relevé l'instance précédente, ils ne sont pas de nature à expliquer la fin subite de la vie d'un couple marié depuis près de sept ans, sauf à considérer que leur union n'était pas stable. Ce d'autant moins que la recourante n'apporte aucun élément propre à démontrer la survenance d'un événement extraordinaire postérieur à la signature de la déclaration commune et susceptible d'expliquer une dégradation aussi rapide du lien conjugal. De même, c'est à juste titre que le Tribunal administratif fédéral n'a pas pris en compte le fait que les ex-époux ont passé ensemble la fête de Noël 2003 chez une amie, vu les explications divergentes fournies par l'hôtesse en question. Enfin, la recourante se contente, de manière appellatoire, d'ajouter sommairement que la signature d'un contrat de bail pour une place parc, conclu le 19 juin 2003, ainsi que les polices de prévoyance conclues auprès de la Winterthur et les lettres d'un conseiller en prévoyance et d'une amie, "[confortaient] l'idée d'une possibilité raisonnable qu'[elle n'avait] pas menti". Cette critique ne répond pas à l'argumentation de l'instance précédente qui a exposé de façon convaincante pourquoi ces éléments ne pouvaient être retenus (cf. arrêt attaqué consid. 6.3.2).</w:t>
      </w:r>
    </w:p>
    <w:p>
      <w:r>
        <w:rPr>
          <w:b/>
        </w:rPr>
        <w:t>E. 2.4</w:t>
      </w:r>
    </w:p>
    <w:p>
      <w:r>
        <w:t>En définitive, les éléments avancés par la recourante ne suffisent pas à renverser la présomption établie. Il en découle que les conditions d'application de l' art. 41 LN sont réunies et que le Tribunal administratif fédéral n'a pas abusé de son pouvoir d'appréciation en confirmant l'annulation de la naturalisation facilitée qui avait été octroyée à la recourante.</w:t>
      </w:r>
    </w:p>
    <w:p>
      <w:r>
        <w:rPr>
          <w:b/>
        </w:rPr>
        <w:t>E. 3</w:t>
      </w:r>
    </w:p>
    <w:p>
      <w:r>
        <w:t>Il s'ensuit que le recours doit être rejeté. La recourante,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