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199/2013 vom 18. Dezember 2013</w:t>
      </w:r>
    </w:p>
    <w:p>
      <w:r>
        <w:t>Bundesgericht, 2013-12-18, FR</w:t>
      </w:r>
    </w:p>
    <w:p>
      <w:r>
        <w:rPr>
          <w:b/>
        </w:rPr>
        <w:t xml:space="preserve">Quelle: </w:t>
      </w:r>
      <w:r>
        <w:t>https://mcp.opencaselaw.ch/entscheid/bger_1C_199_2013</w:t>
      </w:r>
    </w:p>
    <w:p>
      <w:r>
        <w:t>FR: TF 1C 199/2013 du 18 décembre 2013</w:t>
      </w:r>
    </w:p>
    <w:p>
      <w:r>
        <w:t>IT: TF 1C 199/2013 del 18 dicembre 2013</w:t>
      </w:r>
    </w:p>
    <w:p>
      <w:pPr>
        <w:pStyle w:val="Heading2"/>
      </w:pPr>
      <w:r>
        <w:t>Regeste</w:t>
      </w:r>
    </w:p>
    <w:p>
      <w:r>
        <w:t>Retrait de permis de conduire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de retrait du permis de conduire ( art. 82 let. a LTF ). Déposé en temps utile ( art. 100 al. 1 LTF ) par le destinataire de l'arrêt attaqué qui a un intérêt digne de protection à l'annulation de celui-ci ( art. 89 al. 1 LTF ), le présent recours est en principe recevable.</w:t>
      </w:r>
    </w:p>
    <w:p>
      <w:r>
        <w:rPr>
          <w:b/>
        </w:rPr>
        <w:t>E. 2</w:t>
      </w:r>
    </w:p>
    <w:p>
      <w:r>
        <w:t>Dans un premier grief, le recourant reproche à la Cour de justice d'avoir écarté sans motifs la doctrine citée à l'appui de son recours selon laquelle les variantes d'une même catégorie ou d'une même sous-catégorie ne permettraient pas la prise de mesures administratives au sens des art. 14 al. 2 bis ou 16b al. 1 let. c LCR.</w:t>
      </w:r>
    </w:p>
    <w:p>
      <w:r>
        <w:rPr>
          <w:b/>
        </w:rPr>
        <w:t>E. 2.1</w:t>
      </w:r>
    </w:p>
    <w:p>
      <w:r>
        <w:t>La jurisprudence a déduit du droit d'être entendu consacré à l' art. 29 al. 2 Cst. - dont le Tribunal fédéral examine librement le respect ( ATF 127 III 193 consid. 3 et les références citées) -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 ATF 133 III 439 consid. 3.3 p. 445; 130 II 530 consid. 4.3 p. 540).</w:t>
      </w:r>
    </w:p>
    <w:p>
      <w:r>
        <w:rPr>
          <w:b/>
        </w:rPr>
        <w:t>E. 2.2</w:t>
      </w:r>
    </w:p>
    <w:p>
      <w:r>
        <w:t>La cour cantonale a développé dans sa décision du 15 janvier 2013 de façon détaillée les raisons pour lesquelles elle estimait que le recourant ne disposait pas d'une autorisation valable pour conduire son motocycle de 125 cm</w:t>
      </w:r>
    </w:p>
    <w:p>
      <w:r>
        <w:rPr>
          <w:b/>
        </w:rPr>
        <w:t>E. 3</w:t>
      </w:r>
    </w:p>
    <w:p>
      <w:r>
        <w:t>qui n'est pas limitée. Rien ne justifie de considérer que dans cette hypothèse il peut être dérogé au principe général énoncé clairement à l' art. 16b al. 1 let . c LCR selon lequel la conduite d'un véhicule automobile sans être titulaire d'un permis de la catégorie correspondante constitue une faute moyennement grave. Cela se justifie d'autant plus que le permis de conduire de la sous-catégorie A1 dont la vitesse n'excède pas 45 km/h était compris dans celui de la catégorie B, impliquant que l'autorisation de conduire pouvait ainsi être délivrée à un conducteur n'ayant jamais suivi de cours de conduite sur un motocycle. L'interprétation de l' art. 16b al. 1 let . c LCR par la Cour de justice n'est donc pas contraire au droit fédéral.</w:t>
      </w:r>
    </w:p>
    <w:p>
      <w:r>
        <w:rPr>
          <w:b/>
        </w:rPr>
        <w:t>E. 3.1</w:t>
      </w:r>
    </w:p>
    <w:p>
      <w:r>
        <w:t>La LCR distingue les infractions légères, moyennement graves et graves (art. 16a - c LCR). Selon l' art. 16a al. 1 let. a LCR ,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 art. 16a al. 4 LCR ). Dans les autres cas, il ne peut être renoncé au retrait du permis du conducteur fautif au profit d'un avertissement seulement si, au cours des deux dernières années, le permis ne lui a pas été retiré et qu'aucune autre mesure administrative n'a été prononcée ( art. 16a al. 2 et 3 LCR ). Commet une infraction moyennement grave selon l' art. 16b al. 1 let. a LCR la personne qui, en violant les règles de la circulation, crée un danger pour la sécurité d'autrui ou en prend le risque. Dans cette hypothèse, le permis est retiré pour un mois au minimum ( art. 16b al. 2 let. a LCR ). Commet une infraction grave selon l' art. 16c al. 1 let. a LCR la personne qui, en violant gravement les règles de la circulation, met sérieusement en danger la sécurité d'autrui ou en prend le risque. Conformément à l' art. 16c al. 2 let. a LCR , le permis de conduire est retiré pour trois mois au minimum après une infraction grave. 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135 I 138 consid. 2.2.2 p. 141; arrêt 6A.16/2006 du 6 avril 2006 consid. 2.1.1 in JdT 2006 I 442).</w:t>
      </w:r>
    </w:p>
    <w:p>
      <w:r>
        <w:rPr>
          <w:b/>
        </w:rPr>
        <w:t>E. 3.2</w:t>
      </w:r>
    </w:p>
    <w:p>
      <w:r>
        <w:t>En vertu de l' art. 16b al. 1 let . c LCR commet une infraction moyennement grave la personne qui conduit un véhicule automobile sans être titulaire du permis de conduire de la catégorie correspondante. Comme l'a expliqué la cour cantonale ce cas de figure concerne les personnes qui conduisent des véhicules appartenant à des catégories non autorisées par le permis qu'elles possèdent. On peut considérer que ce genre d'infraction est moyennement grave puisque le conducteur est en principe apte à conduire mais qu'il n'a pas reçu de formation spécifique sur le véhicule en question ni passé l'examen approprié (cf. Message du Conseil fédéral concernant la modification de la LCR du 31 mars 1999; FF 1999 IV 4132).</w:t>
      </w:r>
    </w:p>
    <w:p>
      <w:r>
        <w:rPr>
          <w:b/>
        </w:rPr>
        <w:t>E. 3.3</w:t>
      </w:r>
    </w:p>
    <w:p>
      <w:r>
        <w:t>En l'occurrence, le recourant est titulaire d'un permis de conduire de la catégorie B et de la sous-catégorie A1 limitée aux motocycles ne circulant pas à plus de 45 km/h. Le recourant prétend qu'étant titulaire d'un permis de la catégorie considérée mais pas de la sous-catégorie considérée, il n'a pas commis de faute moyennement grave. Il cite à l'appui de sa thèse l'avis de MM. Demierre, Mizel et Mouron; selon lui, ces auteurs considéreraient que des mesures administratives au sens des art. 14 al. 2 bis ou 16b al. 1 let. c LCR ne pourraient être prises lorsqu'il s'agirait d'une variante de la même sous-catégorie (cf. DEMIERRE, MIZEL, MOURON, Questions choisies sur le nouveau retrait du permis de conduire, in PJA 2005 p. 643). Or, la doctrine précitée n'a pas la portée générale que lui prête le recourant car elle est limitée à deux cas particuliers, différents de la présente espèce. En tout état, le recourant ne conteste pas que son permis d'élève-conducteur pour la sous-catégorie A1 illimitée était échu au moment de son interpellation le 13 janvier 2012. Il ne disposait donc pas d'un permis de la sous-catégorie idoine. Le recourant savait également qu'il devait, avant de pouvoir obtenir le permis de la sous-catégorie souhaitée, suivre une formation et en attester l'accomplissement auprès d'une personne en possession d'une autorisation d'enseigner la conduite de la catégorie A (cf. art. 19 al. 1 de l'ordonnance réglant l'admission à la circulation routière [OAC; RS 741.51]). Le recourant n'a pas satisfait à cette obligation et a conduit, depuis le 13 octobre 2007, un motocycle pour lequel il ne possédait pas de permis pour la sous-catégorie considérée. Par ailleurs, la conduite d'un motocycle dont la vitesse n'est pas limitée à 45 km/h n'est possible avec un permis de la catégorie A1 que pour une durée de 4 mois. Cela signifie donc que le législateur a jugé nécessaire que l'élève-conducteur suive rapidement le cours d'instruction pratique de base, compte tenu de la vitesse relativement élevée d'un motocycle de 125 cm</w:t>
      </w:r>
    </w:p>
    <w:p>
      <w:r>
        <w:rPr>
          <w:b/>
        </w:rPr>
        <w:t>E. 4</w:t>
      </w:r>
    </w:p>
    <w:p>
      <w:r>
        <w:t>Il s'ensuit que le recours doit être rejeté aux frais du recourant qui succombe ( art. 65 et 66 al. 1 LTF ). Il n'y a pas lieu d'allouer de dépens aux autorités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