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197/2020 vom 27. April 2020</w:t>
      </w:r>
    </w:p>
    <w:p>
      <w:r>
        <w:t>Bundesgericht, 2020-04-27, DE</w:t>
      </w:r>
    </w:p>
    <w:p>
      <w:r>
        <w:rPr>
          <w:b/>
        </w:rPr>
        <w:t xml:space="preserve">Quelle: </w:t>
      </w:r>
      <w:r>
        <w:t>https://mcp.opencaselaw.ch/entscheid/bger_1C_197_2020</w:t>
      </w:r>
    </w:p>
    <w:p>
      <w:r>
        <w:t>FR: TF 1C 197/2020 du 27 avril 2020</w:t>
      </w:r>
    </w:p>
    <w:p>
      <w:r>
        <w:t>IT: TF 1C 197/2020 del 27 aprile 2020</w:t>
      </w:r>
    </w:p>
    <w:p>
      <w:pPr>
        <w:pStyle w:val="Heading2"/>
      </w:pPr>
      <w:r>
        <w:t>Regeste</w:t>
      </w:r>
    </w:p>
    <w:p>
      <w:r>
        <w:t>Auslieferung an Polen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S. 104 f.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Die Beschwerdeführer machen geltend, dass Gerichtsverfahren in Polen den rechtsstaatlichen Mindestanforderungen im Sinne von Art. 2 lit. a IRSG aufgrund der jüngsten Justizreform nicht mehr zu genügen vermöchten. Das Bundesstrafgericht ist auf die mit dieser Justizreform einhergehende Beschränkung der richterlichen Unabhängigkeit in Polen eingegangen, hat jedoch gleichzeitig hervorgehoben, die Beschwerdeführer müssten darüber hinaus konkret darlegen, weshalb sie selbst davon betroffen sein könnten. Es hat die Rechtsprechung des Bundesgerichts insofern richtig wiedergegeben ( BGE 130 II 217 E. 8.1 mit Hinweisen; Urteil 1C_473/2018 vom 22. Oktober 2018). Es ist zum Schluss gekommen, es gebe keinen Grund zur Annahme, dass die Beschwerdeführer nicht mit einem fairen Verfahren rechnen können. Auf die betreffenden Erwägungen, mit denen sich die Beschwerdeführer kaum substanziiert auseinandersetzen, kann verwiesen werden. Rechtsfragen von grundsätzlicher Bedeutung stellen sich nicht. Auch sonst kommt dem Fall keine aussergewöhnliche Tragweite zu.</w:t>
      </w:r>
    </w:p>
    <w:p>
      <w:r>
        <w:rPr>
          <w:b/>
        </w:rPr>
        <w:t>E. 2</w:t>
      </w:r>
    </w:p>
    <w:p>
      <w:r>
        <w:t>Auf die Beschwerden ist nicht einzutreten. 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