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1C_197/2017 vom 29. Juni 2017</w:t>
      </w:r>
    </w:p>
    <w:p>
      <w:r>
        <w:t>Bundesgericht, 2017-06-29, DE</w:t>
      </w:r>
    </w:p>
    <w:p>
      <w:r>
        <w:rPr>
          <w:b/>
        </w:rPr>
        <w:t xml:space="preserve">Quelle: </w:t>
      </w:r>
      <w:r>
        <w:t>https://mcp.opencaselaw.ch/entscheid/bger_1C_197_2017</w:t>
      </w:r>
    </w:p>
    <w:p>
      <w:r>
        <w:t>FR: TF 1C_197/2017 du 29 juin 2017</w:t>
      </w:r>
    </w:p>
    <w:p>
      <w:r>
        <w:t>IT: TF 1C_197/2017 del 29 giugno 2017</w:t>
      </w:r>
    </w:p>
    <w:p>
      <w:pPr>
        <w:pStyle w:val="Heading2"/>
      </w:pPr>
      <w:r>
        <w:t>Erwägungen</w:t>
      </w:r>
    </w:p>
    <w:p>
      <w:r>
        <w:rPr>
          <w:b/>
        </w:rPr>
        <w:t>E. 1.1</w:t>
      </w:r>
    </w:p>
    <w:p>
      <w:r>
        <w:t>Angefochten ist ein kantonal letztinstanzlicher Entscheid in einer Angelegenheit des öffentlichen Rechts. Dagegen steht die Beschwerde nach Art. 82 ff. BGG offen; ein Ausnahmegrund ist nicht gegeben ( Art. 83 BGG ). Die kantonalen Instanzen haben dem Beschwerdeführer den Ausweis vorsorglich entzogen und die Abklärung seiner Fahreignung angeordnet. Der angefochtene Entscheid schliesst das Verfahren damit nicht ab; er stellt einen Zwischenentscheid dar, der nach der Rechtsprechung anfechtbar ist, da er einen nicht wiedergutzumachenden Nachteil im Sinn von Art. 93 Abs. 1 lit. a BGG bewirkt. Beim vorsorglichen Führerausweisentzug handelt es sich um eine vorsorgliche Massnahme nach Art. 98 BGG (Urteile 1C_328/2013 vom 18. September 2013 E. 1.2; 1C_233/2007 vom 14. Februar 2008 E. 1.2; je mit Hinweisen). Der Beschwerdeführer kann somit nur die Verletzung verfassungsmässiger Rechte rügen (Urteil 1C_264/2014 vom 19. Februar 2015 E. 2). Nach Art. 106 Abs. 2 BGG prüft das Bundesgericht die Verletzung von Grundrechten nur insofern, als eine solche Rüge in der Beschwerde vorgebracht und begründet worden ist ( BGE 133 III 589 E. 2 S. 591 f.; 133 IV 286 E. 1.4).</w:t>
      </w:r>
    </w:p>
    <w:p>
      <w:r>
        <w:rPr>
          <w:b/>
        </w:rPr>
        <w:t>E. 1.2</w:t>
      </w:r>
    </w:p>
    <w:p>
      <w:r>
        <w:t>Der Beschwerdeführer legt nicht in einer den gesetzlichen Anforderungen entsprechenden Weise dar, inwiefern der angefochtene Entscheid verfassungswidrig sein soll, weshalb auf die Beschwerde im vereinfachten Verfahren nach Art. 108 BGG nicht einzutreten ist. Das schadet dem Beschwerdeführer insofern nicht, als der angefochtene Entscheid auch in der Sache nicht zu beanstanden wäre. Erscheint die Fahreignung eines Lenkers dem untersuchenden Arzt nach einer Kontrolluntersuchung wegen möglicherweise verkehrsrelevanten orthopädischen, kognitiven und/oder anderen Beeinträchtigungen als zweifelhaft, so ist das vom Strassenverkehrsamt gewählte Vorgehen weder diskriminierend noch sonstwie verfassungswidrig, sondern zweckmässig.</w:t>
      </w:r>
    </w:p>
    <w:p>
      <w:r>
        <w:rPr>
          <w:b/>
        </w:rPr>
        <w:t>E. 1.3</w:t>
      </w:r>
    </w:p>
    <w:p>
      <w:r>
        <w:t>Auf die Beschwerde ist damit im vereinfachten Verfahren nach Art. 108 BGG nicht einzutreten. Das Gesuch um unentgeltliche Rechtspflege ist abzuweisen, da die Beschwerde aussichtslos war ( Art. 64 Abs. 1 und 2 BGG ). Hingegen rechtfertigt es sich,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