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196/2025 vom 16. April 2025</w:t>
      </w:r>
    </w:p>
    <w:p>
      <w:r>
        <w:t>Bundesgericht, 2025-04-16, DE</w:t>
      </w:r>
    </w:p>
    <w:p>
      <w:r>
        <w:rPr>
          <w:b/>
        </w:rPr>
        <w:t xml:space="preserve">Quelle: </w:t>
      </w:r>
      <w:r>
        <w:t>https://mcp.opencaselaw.ch/entscheid/bger_1C_196_2025</w:t>
      </w:r>
    </w:p>
    <w:p>
      <w:r>
        <w:t>FR: TF 1C 196/2025 du 16 avril 2025</w:t>
      </w:r>
    </w:p>
    <w:p>
      <w:r>
        <w:t>IT: TF 1C 196/2025 del 16 aprile 2025</w:t>
      </w:r>
    </w:p>
    <w:p>
      <w:pPr>
        <w:pStyle w:val="Heading2"/>
      </w:pPr>
      <w:r>
        <w:t>Regeste</w:t>
      </w:r>
    </w:p>
    <w:p>
      <w:r>
        <w:t>Auslieferung an Deutschland | Rechtshilfe und Auslieferung</w:t>
      </w:r>
    </w:p>
    <w:p>
      <w:pPr>
        <w:pStyle w:val="Heading2"/>
      </w:pPr>
      <w:r>
        <w:t>Erwägungen</w:t>
      </w:r>
    </w:p>
    <w:p>
      <w:r>
        <w:rPr>
          <w:b/>
        </w:rPr>
        <w:t>E. 1</w:t>
      </w:r>
    </w:p>
    <w:p>
      <w:r>
        <w:t>Gemäss Art. 84 BGG ist die Beschwerde gegen einen Entscheid auf dem Gebiet der internationalen Rechtshilfe in Strafsachen nur zulässig, wenn dieser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rPr>
          <w:b/>
        </w:rPr>
        <w:t>E. 1.1</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rPr>
          <w:b/>
        </w:rPr>
        <w:t>E. 1.2</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1.3</w:t>
      </w:r>
    </w:p>
    <w:p>
      <w:r>
        <w:t>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Der Beschwerdeführer begründet das Vorliegen eines bedeutenden Falles damit, dass die deutschen Behörden schwerwiegende Verfahrensfehler begangen und insbesondere das Spezialitätsprinzip mehrfach verletzt hätten, indem sie ihn bereits für die mutmasslichen Delikte angeklagt hätten, noch bevor sie nachträglich um Genehmigung ersucht hätten. Überdies hätten sie auch noch einen Haftbefehl erlassen, bevor das Nachtragsersuchen von der Schweiz bewilligt worden sei. Dieser Mangel wiege schwer und könne nicht nachträglich geheilt werden.</w:t>
      </w:r>
    </w:p>
    <w:p>
      <w:r>
        <w:rPr>
          <w:b/>
        </w:rPr>
        <w:t>E. 2.1</w:t>
      </w:r>
    </w:p>
    <w:p>
      <w:r>
        <w:t>Die Vorinstanz hat festgehalten, der ersuchende Staat sei gemäss Art. 14 Ziff. 2 EAUe ausdrücklich befugt, noch vor der Bewilligung der Auslieferung verjährungsunterbrechende Massnahmen zu treffen; die Einreichung der Anklageschrift sei in diesem Zusammenhang erfolgt. Der Haftbefehl stütze sich auf Art. 14 Abs. 1 lit. a Satz 2 i.V.m. Art. 12 Abs. 2 lit. a EAUe und sei von den ersuchenden Behörden nur zur Unterstützung des Nachtragsersuchens erwirkt worden. Entscheidend sei, dass dieser Haftbefehl für den verfolgten Beschwerdeführer keine freiheitsbeschränkenden Folgen habe, bevor die Schweiz dem Nachtragsersuchen nicht zugestimmt habe.</w:t>
      </w:r>
    </w:p>
    <w:p>
      <w:r>
        <w:rPr>
          <w:b/>
        </w:rPr>
        <w:t>E. 2.2</w:t>
      </w:r>
    </w:p>
    <w:p>
      <w:r>
        <w:t>Dies wird vom Beschwerdeführer selbst bestätigt, der vor Bundesgericht ausführt, er sei zwischenzeitlich aus der Justizvollzugsanstalt entlassen worden, und es drohe ihm (erst) mit der Genehmigung des Nachtragsersuchens weiterer Freiheitsentzug. Unter diesen Umständen liegen (wenn überhaupt) jedenfalls keine schweren Mängel des ausländischen Verfahrens vor, die einen besonders bedeutenden Fall begründen könnten. Es sind auch keine Grundsatzfragen im Zusammenhang mit der Auslegung von Art. 14 Ziff. 2 EAUe ersichtlich, zumal der Beschwerdeführer lediglich pauschal die Erforderlichkeit der Verjährungsunterbrechung im vorliegenden Fall bestreitet.</w:t>
      </w:r>
    </w:p>
    <w:p>
      <w:r>
        <w:rPr>
          <w:b/>
        </w:rPr>
        <w:t>E. 3</w:t>
      </w:r>
    </w:p>
    <w:p>
      <w:r>
        <w:t>Auf die Beschwerde ist somit nicht einzutreten. Damit kann das Bundesgericht auch nicht prüfen, ob die Vorinstanz das Gesuch um unentgeltliche Rechtspflege und Verbeiständung zu Unrecht abgewiesen hat. Eine rückwirkende Gewährung ist ausgeschlossen (THOMAS GEISER, in: Basler Kommentar zum BGG, 3. Aufl. 2018, N. 24 zu Art. 64). Da die Beschwerde vor Bundesgericht aussichtslos war, besteht kein Anspruch auf unentgeltliche Rechtspflege und Verbeiständung gemäss Art. 64 BGG . Unter den besonderen Umständen des vorliegenden Falles ist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