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196/2011 vom 11. Juli 2011</w:t>
      </w:r>
    </w:p>
    <w:p>
      <w:r>
        <w:t>Bundesgericht, 2011-07-11, FR</w:t>
      </w:r>
    </w:p>
    <w:p>
      <w:r>
        <w:rPr>
          <w:b/>
        </w:rPr>
        <w:t xml:space="preserve">Quelle: </w:t>
      </w:r>
      <w:r>
        <w:t>https://mcp.opencaselaw.ch/entscheid/bger_1C_196_2011</w:t>
      </w:r>
    </w:p>
    <w:p>
      <w:r>
        <w:t>FR: TF 1C 196/2011 du 11 juillet 2011</w:t>
      </w:r>
    </w:p>
    <w:p>
      <w:r>
        <w:t>IT: TF 1C 196/2011 del 11 luglio 2011</w:t>
      </w:r>
    </w:p>
    <w:p>
      <w:pPr>
        <w:pStyle w:val="Heading2"/>
      </w:pPr>
      <w:r>
        <w:t>Regeste</w:t>
      </w:r>
    </w:p>
    <w:p>
      <w:r>
        <w:t>droits politiques, élections communales, droit à la réplique | Droits politiques</w:t>
      </w:r>
    </w:p>
    <w:p>
      <w:pPr>
        <w:pStyle w:val="Heading2"/>
      </w:pPr>
      <w:r>
        <w:t>Erwägungen</w:t>
      </w:r>
    </w:p>
    <w:p>
      <w:r>
        <w:rPr>
          <w:b/>
        </w:rPr>
        <w:t>E. 1</w:t>
      </w:r>
    </w:p>
    <w:p>
      <w:r>
        <w:t>En vertu de l' art. 82 let . c LTF, le Tribunal fédéral connaît des recours en matière de droit public concernant le droit de vote des citoyens ainsi que les élections et votations populaires. Citoyen de la commune de Meyrin et candidat non élu à l'élection litigieuse, le recourant a la qualité pour recourir ( art. 89 al. 1 et 3 LTF ). Interjeté en temps utile et dans les formes requises contre une décision finale prise en dernière instance cantonale non susceptible de recours devant le Tribunal administratif fédéral, le recours est recevable au regard des art. 42, 86 al. 1 let . d, 90 et 100 al. 1 LTF.</w:t>
      </w:r>
    </w:p>
    <w:p>
      <w:r>
        <w:rPr>
          <w:b/>
        </w:rPr>
        <w:t>E. 2</w:t>
      </w:r>
    </w:p>
    <w:p>
      <w:r>
        <w:t>Dans un grief d'ordre formel qu'il convient d'examiner en premier lieu, le recourant se plaint d'une violation de son droit d'être entendu, au motif que la Cour de justice n'a pas ordonné de réplique. En particulier, il n'avait pas pu prendre position sur les réponses du Conseil d'Etat des 25 et 30 mars 2011.</w:t>
      </w:r>
    </w:p>
    <w:p>
      <w:r>
        <w:rPr>
          <w:b/>
        </w:rPr>
        <w:t>E. 2.1</w:t>
      </w:r>
    </w:p>
    <w:p>
      <w:r>
        <w:t>Le droit d'être entendu est une garantie constitutionnelle de nature formelle, dont la violation entraîne l'annulation de la décision attaquée sans égard aux chances de succès du recours sur le fond ( ATF 127 V 431 consid. 3d/aa p. 437). Ce moyen doit par conséquent être examiné en premier lieu ( ATF 124 I 49 consid. 1 p. 50) et avec un plein pouvoir d'examen ( ATF 127 III 193 consid. 3 p. 194 et la jurisprudence citée).</w:t>
      </w:r>
    </w:p>
    <w:p>
      <w:r>
        <w:rPr>
          <w:b/>
        </w:rPr>
        <w:t>E. 2.2</w:t>
      </w:r>
    </w:p>
    <w:p>
      <w:r>
        <w:t>Compris comme l'un des aspects de la notion générale de procès équitable au sens des art. 29 Cst. et 6 CEDH, le droit d'être entendu garantit notamment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 observations de leur part. Ce droit à la réplique vaut pour toutes les procédures judiciaires. Toute prise de position ou pièce nouvelle versée au dossier doit dès lors être communiquée aux parties pour leur permettre de décider si elles veulent ou non faire usage de leur faculté de se déterminer ( ATF 133 I 100 consid. 4.5; 133 I 98 consid. 2.2; 132 I 42 consid. 3.3.2 - 3.3.4; arrêts 5A_791/2010 du 23 mars 2011 consid. 2.3.1; 5D_8/2011 du 8 mars 2011 consid. 2.1; 4D_111/2010 du 19 janvier 2011 consid. 2.1; cf. les arrêts de la Cour européenne des droits de l'homme dans les causes Schaller-Bossert contre Suisse du 28 octobre 2010 § 39 s. et Nideröst-Huber contre Suisse du 18 février 1997, Recueil CourEDH 1997-I p. 101 § 24). En relation avec une telle communication, le tribunal a la possibilité d'ordonner un second échange d'écritures, ce qu'il fait cependant exceptionnellement (cf. art. 102 al. 3 LTF ) ou si ces écritures sont estimées nécessaires (art. 74 de la loi genevoise sur la procédure administrative du 12 septembre 1985 [LPA/GE; RSG 5 10]). S'il y renonce, il doit néanmoins transmettre la prise de position ou pièce nouvelle à l'autre ou aux autres parties. Dans plusieurs affaires concernant la Suisse, la Cour européenne des droits de l'homme a constaté une violation de l'article 6 § 1 CEDH au motif que le recourant n'avait pas été invité à s'exprimer sur les observations d'une autorité judiciaire inférieure, d'une autorité administrative ou de la partie adverse (arrêts de la Cour européenne des droits de l'homme dans les causes Nideröst-Huber contre Suisse du 18 février 1997, § 24, Recueil 1997-I ; F.R. contre Suisse du 28 juin 2001, § 36, ; Ziegler contre Suisse du 21 février 2002, n° 33499/96, § 33; Contardi contre Suisse du 12 juillet 2005, no 7020/02, § 40; Spang contre Suisse du 11 octobre 2005, n° 45228/99, § 28; Ressegatti contre Suisse du 13 juillet 2006, n° 17671/02, § 30; Kessler contre Suisse du 26 juillet 2007, n° 10577/04, § 31; Schaller-Bossert contre Suisse du 28 octobre 2010 § 39 ss; Ellès et autres contre Suisse du 16 décembre 2010 § 26 ss). Dans sa jurisprudence, la Cour européenne des droits de l'homme a notamment affirmé que l'effet réel des observations d'une autorité importe peu, mais que les parties à un litige doivent avoir la possibilité d'indiquer si elles estiment qu'un document appelle des commentaires de leur part. Il y va notamment de la confiance des justiciables dans le fonctionnement de la justice: cette confiance se fonde, entre autres, sur l'assurance d'avoir pu s'exprimer sur toute pièce du dossier (voir, à titre d'exemple, l'arrêt Schaller-Bossert contre Suisse, précité, § 40). Par ailleurs, ladite Cour a considéré qu'un recourant, non représenté par un avocat, n'avait pas à répondre de manière spontanée aux observations litigieuses déposées devant une instance judiciaire pour ne pas renoncer à ses droits découlant de l'article 6 § 1 CEDH , surtout lorsque le courrier par lequel les observations litigieuses ont été adressées au recourant indique clairement la mention "pour information" et que la loi ne prévoit un deuxième échange d'écritures qu'à titre exceptionnel (cf. arrêt Schaller-Bossert contre Suisse, précité, § 42).</w:t>
      </w:r>
    </w:p>
    <w:p>
      <w:r>
        <w:rPr>
          <w:b/>
        </w:rPr>
        <w:t>E. 2.3</w:t>
      </w:r>
    </w:p>
    <w:p>
      <w:r>
        <w:t>En l'espèce, la Cour de justice a communiqué au recourant, le 25 mars 2011, les déterminations et le chargé de pièces afférent, déposés par le Conseil d'Etat; elle a demandé à celui-là de lui confirmer le maintien de son recours. Le 30 mars 2011, elle a transmis à l'intéressé "pour information", une copie de la réponse fournie par le Conseil d'Etat aux questions posées par le juge délégué à celui-ci le 28 mars 2011. Elle l'a informé que "la cause était gardée à juger". Le lendemain, soit le 31 mars 2011, l'instance précédente a rendu l'arrêt, en se référant notamment aux observations du Conseil d'Etat. Elle a ainsi considéré qu'"au vu des explications qui ont été données [par le Conseil d'Etat] et que les recourants n'ont pas contestées, il apparaît qu'aucune irrégularité de l'opération électorale n'est avérée". En ne permettant pas au recourant de présenter des observations complémentaires sur les réponses du Conseil d'Etat, alors qu'elles étaient déterminantes pour l'issue du litige, la Cour de justice n'a pas respecté le principe de l'égalité des armes. C'est donc à bon droit que, vu la jurisprudence susmentionnée, récente et stricte, le recourant, au demeurant non assisté d'un avocat, lui reproche d'avoir violé son droit à la réplique.</w:t>
      </w:r>
    </w:p>
    <w:p>
      <w:r>
        <w:rPr>
          <w:b/>
        </w:rPr>
        <w:t>E. 2.4</w:t>
      </w:r>
    </w:p>
    <w:p>
      <w:r>
        <w:t>La violation du droit d'être entendu précitée ne peut plus être guérie en instance fédérale puisque ce ne sont pas uniquement des questions de droit qui sont controversées mais aussi des questions de fait que le Tribunal fédéral ne peut pas revoir librement (cf. art. 105 LTF ).</w:t>
      </w:r>
    </w:p>
    <w:p>
      <w:r>
        <w:rPr>
          <w:b/>
        </w:rPr>
        <w:t>E. 3</w:t>
      </w:r>
    </w:p>
    <w:p>
      <w:r>
        <w:t>Le recours doit donc être admis, sans qu'il soit nécessaire d'examiner les autres griefs soulevés par le recourant. La décision attaquée doit par conséquent être annulée et la cause renvoyée à l'autorité précédente pour nouvelle décision prise dans le respect du droit à la réplique défini ci-dessus. Vu l'issue du recours, la demande d'assistance judiciaire est sans objet. Il n'est pas perçu de frais judiciaires ( art. 66 al. 1 et 4 LTF ) ni alloué de dépens, le recourant ayant agi en personne et n'ayant pas établi avoir assumé des frais particuliers pour la défenses de ses intérêts (arrêt 1C_312/2010 du 8 décembre 2010 consid.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