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196/2009 vom 27. August 2009</w:t>
      </w:r>
    </w:p>
    <w:p>
      <w:r>
        <w:t>Bundesgericht, 2009-08-27, DE</w:t>
      </w:r>
    </w:p>
    <w:p>
      <w:r>
        <w:rPr>
          <w:b/>
        </w:rPr>
        <w:t xml:space="preserve">Quelle: </w:t>
      </w:r>
      <w:r>
        <w:t>https://mcp.opencaselaw.ch/entscheid/bger_1C_196_2009</w:t>
      </w:r>
    </w:p>
    <w:p>
      <w:r>
        <w:t>FR: TF 1C 196/2009 du 27 août 2009</w:t>
      </w:r>
    </w:p>
    <w:p>
      <w:r>
        <w:t>IT: TF 1C 196/2009 del 27 agosto 2009</w:t>
      </w:r>
    </w:p>
    <w:p>
      <w:pPr>
        <w:pStyle w:val="Heading2"/>
      </w:pPr>
      <w:r>
        <w:t>Regeste</w:t>
      </w:r>
    </w:p>
    <w:p>
      <w:r>
        <w:t>Nichtigerklärung der erleicherten Einbürgerung | Bürgerrecht und Ausländerrecht</w:t>
      </w:r>
    </w:p>
    <w:p>
      <w:pPr>
        <w:pStyle w:val="Heading2"/>
      </w:pPr>
      <w:r>
        <w:t>Erwägungen</w:t>
      </w:r>
    </w:p>
    <w:p>
      <w:r>
        <w:rPr>
          <w:b/>
        </w:rPr>
        <w:t>E. 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135 II 161 E. 2 S. 165.; 130 II 482 E. 2 S. 484).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135 II 161 E. 2 S. 166; 130 II 482 E. 3.2 S. 486). Die tatsächliche Vermutung betrifft die Beweiswürdigung und bewirkt keine Umkehr der Beweislast. Der Betroffene muss nicht den Beweis des Gegenteils erbringen ( BGE 130 II 482 E. 3.2 S. 486).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(vgl. zum Ganzen BGE 135 II 161 E. 2 S. 166 mit Hinweisen).</w:t>
      </w:r>
    </w:p>
    <w:p>
      <w:r>
        <w:rPr>
          <w:b/>
        </w:rPr>
        <w:t>E. 3.1</w:t>
      </w:r>
    </w:p>
    <w:p>
      <w:r>
        <w:t>Der Beschwerdeführer bringt vor, er habe hinreichende Gründe angegeben, weshalb es zum raschen Zerfall des Ehewillens im Anschluss an die Einbürgerung und schliesslich zur Scheidung kam. Ursache sei zum einen die Bekanntschaft mit seiner zweiten Ehefrau gewesen. Die Aufnahme einer ausserehelichen Beziehung sei durchaus geeignet, eine zuvor intakte Ehe scheitern zu lassen. Zum andern habe seine an Krebs erkrankte schweizerische Ehefrau im Jahr 2002 schwere gesundheitliche Probleme bekommen und sei auch aufgrund religiöser Überlegungen zum Entschluss gekommen, sich von ihrem muslimischen Ehemann zu trennen.</w:t>
      </w:r>
    </w:p>
    <w:p>
      <w:r>
        <w:rPr>
          <w:b/>
        </w:rPr>
        <w:t>E. 3.2</w:t>
      </w:r>
    </w:p>
    <w:p>
      <w:r>
        <w:t>Das Bundesverwaltungsgericht hat (in E. 6) auf die Umstände hingewiesen, wie der Beschwerdeführer zu einer erleichterten Einbürgerung gelangte: Einreise in die Schweiz im Alter von 19 Jahren im Jahr 1994; nach Abweisung des Asylgesuchs und dem negativen Ausgang zweier Revisionsverfahren Rückkehr nach Pakistan im Januar 1996; ebenfalls im Januar 1996 Heirat mit einer 33 Jahre älteren schweizerischen Staatsbürgerin in Pakistan; Gesuch um erleichterte Einbürgerung im November 2000; Unterzeichnung der gemeinsamen Erklärung zum Zustand der ehelichen Gemeinschaft im Dezember 2001; Einbürgerung im Februar 2002; Unterzeichnung der Scheidungskonvention und gemeinsames Scheidungsbegehren im September 2002; Scheidung der Ehe mit sofortiger Rechtskraftwirkung im Dezember 2002; Heirat mit einer US-amerikanischen Staatsbürgerin pakistanischer Herkunft im April 2004, die vier Monate zuvor ihr 18. Lebensjahr vollendet hatte, und mit welcher der Beschwerdeführer mittlerweile zwei Kinder hat. Das Bundesverwaltungsgericht schloss aus der engen zeitlichen Abfolge der Ereignisse, dass der Wille zur Fortsetzung der mit der Schweizerin eingegangenen Ehe, die wegen des massiven Altersunterschieds der Ehegatten ohnehin starken Belastungen ausgesetzt gewesen sein müsse, mit der Zeit allmählich weggefallen sei, dass die Ehe jedoch vorerst weitergeführt worden sei, um dem Beschwerdeführer nicht die Gelegenheit zur erleichterten Einbürgerung zu nehmen.</w:t>
      </w:r>
    </w:p>
    <w:p>
      <w:r>
        <w:rPr>
          <w:b/>
        </w:rPr>
        <w:t>E. 3.3</w:t>
      </w:r>
    </w:p>
    <w:p>
      <w:r>
        <w:t>Der Beschwerdeführer beschränkt sich über weite Strecken darauf, seine Meinung derjenigen der Vorinstanz gegenüberzustellen. Die aussereheliche Beziehung des Beschwerdeführers steht aber offenkundig im Widerspruch zu einer angeblich intakten ehelichen Gemeinschaft. Im Umstand, dass der Beschwerdeführer die aussereheliche Beziehung nach der Einbürgerung und nicht schon vorher aufgenommen hat, kann unter den gegebenen Verhältnissen kein Hinweis auf eine vorher intakte Ehe erblickt werden. Ebenso ist nicht entscheidend, dass die Ehe beinahe sieben Jahre gedauert hat, da die Einbürgerung zu einem früheren Zeitpunkt gar nicht möglich war. Von Bedeutung ist vielmehr, dass der Beschwerdeführer mit einer jüngeren Frau aus seinem angestammten Kulturkreis eine aussereheliche Beziehung einging. Er musste sich bewusst sein, dass die Aufnahme eines ausserehelichen Verhältnisses unmittelbare Konsequenzen für seine bisherige Ehe haben würde. Gleichwohl ist er die Beziehung - unter Preisgabe seiner bisherigen, als angeblich von grosser Reife, Ernsthaftigkeit und tiefer Verbundenheit gekennzeichneten Ehe - eingegangen. Danach ist die bisherige Ehe geschieden worden und hat sich der Beschwerdeführer neu verheiratet. Aufgrund dieser Verhältnisse kann ohne Weiteres gefolgert werden, dass der Wille zur Fortsetzung der Ehe spätestens im Zeitpunkt der Einbürgerung weggefallen war. Dass das Auftreten von gesundheitlichen Problemen und religiöse Motive der Schweizer Ex-Ehefrau für die Scheidung ausschlaggebend gewesen sein sollen, ist in Anbetracht der von der Vorinstanz geschilderten Ereigniskette nicht glaubhaft. Es ist daher nicht zu beanstanden, wenn die Vorinstanz davon ausgeht, dass der Beschwerdeführer die Ehe für den Erhalt des Bürgerrechts benutzte und hernach mit seinem weiteren Verhalten und der Einreise der zweiten Ehefrau ein Anwesenheitsrecht für die Mitglieder einer neuen Familie zu sichern versuchte. Der Schlussfolgerung des Bundesverwaltungsgerichts steht selbst der Umstand nicht entgegen, dass der Beschwerdeführer und seine schweizerische Ex-Ehefrau auch nach der Scheidung eine enge Beziehung unterhielten, diese mit der zweiten Ehefrau des Beschwerdeführers gut auskam und vor ihrem Tod zeitweise mit der Familie des Beschwerdeführers zusammenlebte. Eine solche Lebensform lässt keinen Schluss auf die frühere Ehe und die Verhältnisse zum massgeblichen Zeitpunkt von Erklärung und Einbürgerung zu. Gleich entschied das Bundesgericht im Urteil 1C_52/2009 vom 4. August 2009 (E. 3.2). In Würdigung aller Umstände ist mit dem Bundesverwaltungsgericht davon auszugehen, dass der Beschwerdeführer die Einbürgerung im Sinne der Rechtsprechung erschlichen hat. Damit erweist sich seine Beschwerde als unbegründet.</w:t>
      </w:r>
    </w:p>
    <w:p>
      <w:r>
        <w:rPr>
          <w:b/>
        </w:rPr>
        <w:t>E. 4</w:t>
      </w:r>
    </w:p>
    <w:p>
      <w:r>
        <w:t>Nach dem Gesagten ist die Beschwerde abzuweisen. Der Beschwerdeführer hat um unentgeltliche Rechtspflege im bundesgerichtlichen Verfahren ersucht. Diesem Begehren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