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1C_195/2014 vom 21. Januar 2015</w:t>
      </w:r>
    </w:p>
    <w:p>
      <w:r>
        <w:t>Bundesgericht, 2015-01-21, DE</w:t>
      </w:r>
    </w:p>
    <w:p>
      <w:r>
        <w:rPr>
          <w:b/>
        </w:rPr>
        <w:t xml:space="preserve">Quelle: </w:t>
      </w:r>
      <w:r>
        <w:t>https://mcp.opencaselaw.ch/entscheid/bger_1C_195_2014</w:t>
      </w:r>
    </w:p>
    <w:p>
      <w:r>
        <w:t>FR: TF 1C_195/2014 du 21 janvier 2015</w:t>
      </w:r>
    </w:p>
    <w:p>
      <w:r>
        <w:t>IT: TF 1C_195/2014 del 21 gennaio 2015</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Der Beschwerdeführer hat sich am Verfahren vor der Vorinstanz beteiligt und ist beschwerdelegitimiert ( Art. 89 Abs. 1 BGG ). Auf die Beschwerde ist einzutreten.</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w:t>
      </w:r>
    </w:p>
    <w:p>
      <w:r>
        <w:t>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w:t>
      </w:r>
    </w:p>
    <w:p>
      <w:r>
        <w:rPr>
          <w:b/>
        </w:rPr>
        <w:t>E. 2.4</w:t>
      </w:r>
    </w:p>
    <w:p>
      <w:r>
        <w:t>Gemäss dem hier anwendbaren, am 1. März 2011 in Kraft getretenen Art. 41 Abs. 1bis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 BGE 140 II 65 E. 2.3).</w:t>
      </w:r>
    </w:p>
    <w:p>
      <w:r>
        <w:rPr>
          <w:b/>
        </w:rPr>
        <w:t>E. 3.1</w:t>
      </w:r>
    </w:p>
    <w:p>
      <w:r>
        <w:t>Nach der nicht bzw. jedenfalls nicht substanziiert bestrittenen Sachverhaltsdarstellung des Bundesverwaltungsgerichts im angefochtenen Entscheid (E. 7.2 S. 9) hat der Beschwerdeführer irgendwann zwischen Sommer 2000 und Mai 2001, als er sich unter Missachtung seiner Ausreiseverpflichtung illegal in der Schweiz aufhielt, die 20 Jahre ältere B.________ kennengelernt und sie am 15. Februar 2002 geheiratet. Am 13. September 2004 stellte er verfrüht ein Gesuch um erleichterte Einbürgerung. In der zweiten Hälfte des Jahres 2005 ging der Beschwerdeführer eine aussereheliche Beziehung ein. Am 15. August 2007 unterschrieben die Ehegatten die gemeinsame Erklärung zur ehelichen Gemeinschaft, am 28. August 2007 wurde der Beschwerdeführer erleichtert eingebürgert. Im Frühjahr 2008 ging der Beschwerdeführer erneut eine aussereheliche Beziehung ein. Am 22. Mai 2008 ersuchte die Ehefrau den Erlass von Eheschutzmassnahmen, worauf den Ehegatten ab dem 1. Juli 2008 das Getrenntleben bewilligt wurde.</w:t>
      </w:r>
    </w:p>
    <w:p>
      <w:r>
        <w:rPr>
          <w:b/>
        </w:rPr>
        <w:t>E. 3.2</w:t>
      </w:r>
    </w:p>
    <w:p>
      <w:r>
        <w:t>Die Chronologie der Ereignisse erweckt starke Zweifel daran, dass die Ehe zwischen dem Beschwerdeführer und seiner damaligen Ehefrau am 15. August 2007, als sie gemeinsam erklärten, in einer stabilen Ehe zu leben, effektiv intakt bzw. auf Dauer angelegt war. Bereits der Umstand, dass der Beschwerdeführer, der sich damals illegal in der Schweiz aufhielt, eine 20 Jahre ältere Schweizerin heiratete mit der Konsequenz, dass er dadurch eine Aufenthaltsbewilligung in der Schweiz erhielt, ist jedenfalls ein Indiz dafür, dass die Legalisierung seines Aufenthaltes in der Schweiz für ihn ein wichtiger Grund zum Eingehen der Ehe war. Vor allem aber spricht der Umstand, dass er im Frühjahr 2008 ein aussereheliches Verhältnis einging, dafür, dass die von ihm rund ein halbes Jahr zuvor unterzeichnete Erklärung, in einer intakten, auf die Zukunft gerichteten Ehe zu leben, nicht seinen wahren Absichten entsprach. Dies wird denn auch durch weitere Umstände, insbesondere seine eigenen Angaben, erhärtet:</w:t>
      </w:r>
    </w:p>
    <w:p>
      <w:r>
        <w:rPr>
          <w:b/>
        </w:rPr>
        <w:t>E. 3.3</w:t>
      </w:r>
    </w:p>
    <w:p>
      <w:r>
        <w:t>Unbestritten ist, dass der Beschwerdeführer bereits 2005 eine aussereheliche Beziehung eingegangen war, die ihm seine Ehefrau verziehen hatte. Aus diesem Umstand ergibt sich, dass jedenfalls für seine damalige Ehefrau die Einhaltung der ehelichen Treue zu den unabdingbaren Voraussetzungen ihrer Gemeinschaft gehörte. Hätte sie mit dem Beschwerdeführer, wie er behauptet (Eingabe ans BFM vom 1. Oktober 2010), eine "offene" Beziehung geführt und sie sich gegenseitig das gelegentliche Eingehen von Drittbeziehungen zugestanden, so wäre der Seitensprung von 2005 vom ehelichen Konsens abgedeckt bzw. "erlaubt" gewesen, und es hätte für die damalige Ehefrau kein Anlass bestanden, ihn dem Beschwerdeführer zu verzeihen. Spätestens seit diesem Vorfall musste ihm damit bewusst gewesen sein, dass seine damalige Ehefrau seine Vorstellungen von einer "offenen Beziehung" keineswegs teilte. Im Wissen darum hat der Beschwerdeführer unter Hinweis auf ihre wegen des grossen Altersunterschieds unterschiedlich tickenden "biologischen Uhren" weiterhin für sich in Anspruch genommen, auch gegen den Willen seiner Ehefrau aussereheliche Verhältnisse einzugehen, was er dann im Frühjahr 2008 auch tat. Ihre eheliche Gemeinschaft war daher 2007 offensichtlich nicht mehr von einem übereinstimmenden Willen über deren Fortführung getragen; vielmehr herrschte Uneinigkeit in einer für den Weiterbestand der Ehe zentralen Frage, indem die Ehefrau, wie der Beschwerdeführer wusste, auf der Einhaltung der ehelichen Treue bestand, er aber - was er allerdings gegenüber seiner Partnerin nicht offen legte - nicht bereit war, sich daran zu halten. Damit entsprach die von den Ehegatten am 15. August 2007 unterzeichnete Erklärung, eine vom übereinstimmenden Willen getragene, intakte und auf die Zukunft gerichtete Ehe zu führen, jedenfalls von Seiten des Beschwerdeführers nicht der Wahrheit. Und der mentale Vorbehalt des Beschwerdeführers in Bezug auf die Einhaltung der ehelichen Treue führte denn auch innert kurzer Zeit zur Trennung des Paares, als die damalige Ehefrau im Frühjahr 2008 von einem weiteren ausserehelichen Verhältnis des Beschwerdeführers erfuhr.</w:t>
      </w:r>
    </w:p>
    <w:p>
      <w:r>
        <w:t>Die Vorbringen des Beschwerdeführers sind damit nicht geeignet, die sich aus der Chronologie der Ereignisse aufdrängende Vermutung zu widerlegen, seine Ehe sei im August 2007, als er die "gemeinsame Erklärung" unterschrieb, nicht mehr intakt gewesen, sondern zumindest von seiner Seite durch seinen mentalen Vorbehalt gegenüber der von seiner damaligen Ehefrau eingeforderten Einhaltung der ehelichen Treue bereits fundamental in Frage gestellt.</w:t>
      </w:r>
    </w:p>
    <w:p>
      <w:r>
        <w:rPr>
          <w:b/>
        </w:rPr>
        <w:t>E. 4</w:t>
      </w:r>
    </w:p>
    <w:p>
      <w:r>
        <w:t>Das Bundesverwaltungsgericht hat kein Bundesrecht verletzt, indem es die Beschwerde gegen die Nichtigerklärung der erleichterten Einbürgerung abwies. 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