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195/2013 vom 20. März 2013</w:t>
      </w:r>
    </w:p>
    <w:p>
      <w:r>
        <w:t>Bundesgericht, 2013-03-20, FR</w:t>
      </w:r>
    </w:p>
    <w:p>
      <w:r>
        <w:rPr>
          <w:b/>
        </w:rPr>
        <w:t xml:space="preserve">Quelle: </w:t>
      </w:r>
      <w:r>
        <w:t>https://mcp.opencaselaw.ch/entscheid/bger_1C_195_2013</w:t>
      </w:r>
    </w:p>
    <w:p>
      <w:r>
        <w:t>FR: TF 1C 195/2013 du 20 mars 2013</w:t>
      </w:r>
    </w:p>
    <w:p>
      <w:r>
        <w:t>IT: TF 1C 195/2013 del 20 marzo 2013</w:t>
      </w:r>
    </w:p>
    <w:p>
      <w:pPr>
        <w:pStyle w:val="Heading2"/>
      </w:pPr>
      <w:r>
        <w:t>Regeste</w:t>
      </w:r>
    </w:p>
    <w:p>
      <w:r>
        <w:t>retrait préventif du permis de conduire; effet suspensif | Construction des routes et circulation routière</w:t>
      </w:r>
    </w:p>
    <w:p>
      <w:pPr>
        <w:pStyle w:val="Heading2"/>
      </w:pPr>
      <w:r>
        <w:t>Erwägungen</w:t>
      </w:r>
    </w:p>
    <w:p>
      <w:r>
        <w:rPr>
          <w:b/>
        </w:rPr>
        <w:t>E. 1</w:t>
      </w:r>
    </w:p>
    <w:p>
      <w:r>
        <w:t>Le Tribunal fédéral examine d'office la recevabilité des recours qui lui sont soumis.</w:t>
      </w:r>
    </w:p>
    <w:p>
      <w:r>
        <w:rPr>
          <w:b/>
        </w:rPr>
        <w:t>E. 1.1</w:t>
      </w:r>
    </w:p>
    <w:p>
      <w:r>
        <w:t>Dirigé contre une décision prise en dernière instance cantonale ( art. 86 al. 1 let . d LTF) dans le domaine des mesures administratives de retrait à titre préventif du permis de conduire ( art. 82 let. a LTF ), le recours est en principe recevable comme recours en matière de droit public selon les art. 82 ss LTF , aucune des exceptions mentionnées à l' art. 83 LTF n'étant réalisée. Le recourant est particulièrement touché par la décision attaquée, qui confirme le refus de la restitution de l'effet suspensif à son recours interjeté le 30 août 2012 et donc le refus de la restitution de son permis de conduire pendant la durée de la procédure; il a un intérêt digne de protection à son annulation. Ainsi, il a qualité pour recourir au sens de l' art. 89 al. 1 LTF .</w:t>
      </w:r>
    </w:p>
    <w:p>
      <w:r>
        <w:rPr>
          <w:b/>
        </w:rPr>
        <w:t>E. 1.2</w:t>
      </w:r>
    </w:p>
    <w:p>
      <w:r>
        <w:t>Le recours est dirigé contre un arrêt qui rejette une requête en restitution de l'effet suspensif. L'arrêt attaqué ne met par conséquent pas fin à la procédure administrative et revêt un caractère incident. Le recours est néanmoins ouvert, la condition du préjudice irréparable au sens de l' art. 93 al. 1 let. a LTF étant réalisée (cf. arrêt 1C_347/2012 du 23 octobre 2012 consid. 1; cf. ATF 122 II 359 consid. 1b p. 362).</w:t>
      </w:r>
    </w:p>
    <w:p>
      <w:r>
        <w:rPr>
          <w:b/>
        </w:rPr>
        <w:t>E. 1.3</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w:t>
      </w:r>
    </w:p>
    <w:p>
      <w:r>
        <w:rPr>
          <w:b/>
        </w:rPr>
        <w:t>E. 2</w:t>
      </w:r>
    </w:p>
    <w:p>
      <w:r>
        <w:t>Dans un grief d'ordre formel qu'il convient d'examiner en premier lieu, le recourant reproche au Tribunal cantonal d'avoir fait preuve d'arbitraire dans la constatation des faits.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p. 104 et les arrêts cités).</w:t>
      </w:r>
    </w:p>
    <w:p>
      <w:r>
        <w:rPr>
          <w:b/>
        </w:rPr>
        <w:t>E. 2.2</w:t>
      </w:r>
    </w:p>
    <w:p>
      <w:r>
        <w:t>En l'espèce, le recourant fait grief à l'instance précédente d'avoir retenu qu'il aurait témoigné d'une "attitude oppositionnelle marquée, rendant impossible la mesure du taux par éthylomètre", alors que le rapport de police du 25 juin 2012 relève que deux tests à l'éthylomètre ont été effectués à 4h20, respectivement 4h21 le 4 juin 2012 par le gendarme C.________. Les critiques du recourant sont toutefois impuissantes à rendre la constatation du fait précité arbitraire, dès lors que le Tribunal cantonal s'est fondé sur le rapport de police du 25 juin 2012 pour l'établir. En effet, il ressort dudit rapport de police que la patrouille de police a "tenté de soumettre [le recourant] aux tests à l'éthylomètre, mais que visiblement sous l'influence de l'alcool il n'a pas été en mesure de souffler correctement dans l'appareil; au vu de son attitude oppositionnelle, [les policiers] ont dû le menotter et le [conduire] au moyen d'un véhicule de service à l'hôpital de B.________, afin [qu'il subisse] une prise de sang. Avant le prélèvement, il a été possible de le soumettre aux tests à l'éthylomètre". Les deux tests à l'éthylomètre auxquels se réfère le recourant n'ont donc pas été effectués au moment de l'intervention policière à 3h40, mais ultérieurement. Mal fondé, le grief doit être rejeté.</w:t>
      </w:r>
    </w:p>
    <w:p>
      <w:r>
        <w:rPr>
          <w:b/>
        </w:rPr>
        <w:t>E. 3</w:t>
      </w:r>
    </w:p>
    <w:p>
      <w:r>
        <w:t>La contestation porte uniquement sur le refus de restituer l'effet suspensif au recours. A ce stade de la procédure, il n'y a pas lieu de trancher le litige au fond, soit d'examiner si les conditions d'application de l' art. 16d al. 1 let. b LCR (en relation avec l' art. 14 al. 2 let . c LCR) et de l'art. 30 de l'ordonnance du 27 octobre 1976 réglant l'admission des personnes et des véhicules à la circulation routière (OAC; RS 741.01) sont remplies. Il s'agit seulement d'analyser si les conditions du retrait de l'effet suspensif sont remplies, sans préjuger de l'issue du litige quant à la décision de retrait à titre préventif du permis de conduire. Le recourant fait valoir à cet égard une application arbitraire de l'art. 40 de la loi cantonale sur la procédure et la juridiction administratives du 27 juin 1979 (LPJA; RSN 152.130).</w:t>
      </w:r>
    </w:p>
    <w:p>
      <w:r>
        <w:rPr>
          <w:b/>
        </w:rPr>
        <w:t>E. 3.1</w:t>
      </w:r>
    </w:p>
    <w:p>
      <w:r>
        <w:t>L'art. 40 al. 1 LPJA prévoit que le recours a un effet suspensif. L'alinéa 2 de cette disposition précise qu'il peut toutefois en être dépourvu si la décision attaquée le prévoit en raison d'un intérêt public important (let. a) ou si l'autorité de recours le décide, d'office ou sur requête, en raison de l'intérêt public (let. b).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En outre, pour qu'une décision soit annulée au titre de l'arbitraire, il ne suffit pas qu'elle se fonde sur une motivation insoutenable; encore faut-il qu'elle apparaisse arbitraire dans son résultat ( ATF 136 III 552 consid. 4 p. 560).</w:t>
      </w:r>
    </w:p>
    <w:p>
      <w:r>
        <w:rPr>
          <w:b/>
        </w:rPr>
        <w:t>E. 3.2</w:t>
      </w:r>
    </w:p>
    <w:p>
      <w:r>
        <w:t>La restitution de l'effet suspensif n'est décidée qu'après une sérieuse pesée des intérêts en présence. Elle est subordonnée à l'existence de justes motifs, qui résident dans un intérêt public ou privé prépondérant à l'inexécution immédiate de la décision. L'autorité dispose d'une certaine liberté d'appréciation lorsqu'elle procède à la pesée des intérêts (cf. ATF 129 II 286 consid. 3 p. 289; Benoît Bovay, Procédure administrative, 2000, p. 405; cf. Hansjörg Seiler, in Praxiskommentar zum Bundesgesetz über das Verwaltungsverfahren, 2009, ad art. 55 PA n° 90). Si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 ATF 106 Ib 115 consid. 2b p. 117).</w:t>
      </w:r>
    </w:p>
    <w:p>
      <w:r>
        <w:rPr>
          <w:b/>
        </w:rPr>
        <w:t>E. 3.3</w:t>
      </w:r>
    </w:p>
    <w:p>
      <w:r>
        <w:t>En l'espèce, à l'instar du Département de la gestion du territoire du canton de Neuchâtel, le Tribunal cantonal a tenu pour prépondérant l'intérêt public à la sécurité routière - puisque le permis du recourant a été retiré à titre préventif pour suspicion de dépendance à l'alcool - par rapport à l'intérêt personnel du conducteur à conserver son permis de conduire. Le recourant n'apporte aucun élément propre à démontrer que son intérêt privé est supérieur à l'intérêt public retenu. Il se borne à argumenter sur le fond du litige, à citer de la jurisprudence relative au retrait de permis préventif et à en déduire que son recours aurait des chances d'aboutir sur le fond. Or, les chances de succès du recours au fond n'influencent la pesée des intérêts que si elles peuvent être déterminées prima facie sur la base du dossier et qu'elles ne font aucun doute (Benoît Bovay, op.cit., p. 405; cf. Hansjörg Seiler, op. cit., ad art. 55 PA n° 96). Tel n'est pas le cas en l'espèce. Pour le reste, l'argumentation de l'intéressé ne parvient pas à rendre insoutenable le raisonnement de l'instance précédente portant sur l'effet suspensif. La décision attaquée est en effet conforme au principe selon lequel l'effet suspensif est généralement refusé, lorsqu'il s'agit d'un retrait de sécurité ( ATF 106 Ib 116 consid. 2b) ou d'un retrait préventif prononcé pour des motifs similaires (Michel Perrin, Délivrance et retrait du permis de conduire, 1982, p. 82).</w:t>
      </w:r>
    </w:p>
    <w:p>
      <w:r>
        <w:rPr>
          <w:b/>
        </w:rPr>
        <w:t>E. 3.4</w:t>
      </w:r>
    </w:p>
    <w:p>
      <w:r>
        <w:t>Cela étant, le délai dans lequel il a été statué sur la question de l'effet suspensif sur le plan cantonal est particulièrement long. Il y a donc lieu d'inviter les autorités compétentes à trancher rapidement le litige sur le fond.</w:t>
      </w:r>
    </w:p>
    <w:p>
      <w:r>
        <w:rPr>
          <w:b/>
        </w:rPr>
        <w:t>E. 4</w:t>
      </w:r>
    </w:p>
    <w:p>
      <w:r>
        <w:t>Il s'ensuit que le recours est rejeté. Les frais judiciaires sont mis à la charge du recourant qui succombe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