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1C_193/2013 vom 4. Dezember 2014</w:t>
      </w:r>
    </w:p>
    <w:p>
      <w:r>
        <w:t>Bundesgericht, 2014-12-04, DE</w:t>
      </w:r>
    </w:p>
    <w:p>
      <w:r>
        <w:rPr>
          <w:b/>
        </w:rPr>
        <w:t xml:space="preserve">Quelle: </w:t>
      </w:r>
      <w:r>
        <w:t>https://mcp.opencaselaw.ch/entscheid/bger_1C_193_2013</w:t>
      </w:r>
    </w:p>
    <w:p>
      <w:r>
        <w:t>FR: TF 1C_193/2013 du 4 décembre 2014</w:t>
      </w:r>
    </w:p>
    <w:p>
      <w:r>
        <w:t>IT: TF 1C_193/2013 del 4 dicembre 2014</w:t>
      </w:r>
    </w:p>
    <w:p>
      <w:pPr>
        <w:pStyle w:val="Heading2"/>
      </w:pPr>
      <w:r>
        <w:t>Erwägungen</w:t>
      </w:r>
    </w:p>
    <w:p>
      <w:r>
        <w:rPr>
          <w:b/>
        </w:rPr>
        <w:t>E. 1</w:t>
      </w:r>
    </w:p>
    <w:p>
      <w:r>
        <w:t>Angefochten ist ein kantonal letztinstanzlicher Endentscheid über eine Nutzungsplanung.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Der Beschwerdeführer, der am vorinstanzlichen Verfahren teilgenommen hat, ist gemäss der nachstehenden Erwägung zur Beschwerde legitimiert. Da auch die weiteren Sachurteilsvoraussetzungen vorliegen, ist auf die Beschwerde einzutreten.</w:t>
      </w:r>
    </w:p>
    <w:p>
      <w:r>
        <w:rPr>
          <w:b/>
        </w:rPr>
        <w:t>E. 2.1</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137 II 30 E. 2.2.2 S. 34). Liegt diese besondere Beziehungsnähe vor, braucht das Anfechtungsinteresse nicht mit dem Interesse übereinzustimmen, das durch die vom Beschwerdeführer als verletzt bezeichneten Normen geschützt wird (Urteil 1C_236/2010 vom 16. Juli 2010 E. 1.4 mit Hinweisen). Er kann daher die Überprüfung eines Bauvorhabens im Lichte all jener Rechtssätze verlangen, die sich rechtlich oder tatsächlich in dem Sinne auf seine Stellung auswirken, dass ihm im Falle des Obsiegens ein praktischer Nutzen entsteht. Nicht zulässig ist hingegen das Vorbringen von Beschwerdegründen, mit denen einzig ein allgemeines öffentliches Interesse an der richtigen Anwendung des Rechts verfolgt wird, ohne dass dem Beschwerdeführer im Falle des Obsiegens ein Vorteil entsteht ( BGE 137 II 30 E. 2.2.3 S. 34; 139 II 499 E. 2.2 S. 504; je mit Hinweisen). Entsprechend diesen Grundsätzen können bei der Planung von Hochspannungsleitungen die in räumlicher Hinsicht betroffenen Personen nicht nur Mängel des Projekts in ihrer unmittelbaren Umgebung geltend machen, sondern innerhalb des Planungsperimeters die Notwendigkeit des Neubaus und die Linienführung in Frage stellen, soweit der gerügte Mangel zu einer Aufhebung oder Änderung der Linienführung im Nahbereich dieser Personen führen und ihnen damit einen konkreten Vorteil verschaffen könnte ( BGE 139 II 499 E. 2.3 S. 505 mit Hinweisen).</w:t>
      </w:r>
    </w:p>
    <w:p>
      <w:r>
        <w:rPr>
          <w:b/>
        </w:rPr>
        <w:t>E. 2.2</w:t>
      </w:r>
    </w:p>
    <w:p>
      <w:r>
        <w:t>Gemäss Art. 33 Abs. 3 lit. a RPG gewährleistet das kantonale Recht gegen Verfügungen betreffend die Raumplanung die Legitimation mindestens im gleichen Umfang wie für die Beschwerde in öffentlich-rechtlichen Angelegenheiten an das Bundesgericht. Zudem sieht Art. 111 Abs. 1 und 3 BGG die Einheit des Verfahrens vor. Aus diesen Bestimmungen ergibt sich, dass die kantonalen Behörden die Rechtsmittelbefugnis nicht enger fassen dürfen, als dies für die Beschwerde an das Bundesgericht vorgesehen ist (Urteil 1C_82/2007 vom 19. November 2007 E. 3.1).</w:t>
      </w:r>
    </w:p>
    <w:p>
      <w:r>
        <w:rPr>
          <w:b/>
        </w:rPr>
        <w:t>E. 2.3</w:t>
      </w:r>
    </w:p>
    <w:p>
      <w:r>
        <w:t>Die Vorinstanz führte bezüglich der Legitimation des Beschwerdeführers unter Berufung auf die bundesgerichtliche Rechtsprechung aus, ein Nachbar sei nur in dem Umfang zur Anfechtung von Planfestsetzungen legitimiert, als diese sich wegen der räumlichen Nähe auf seine Parzelle nachteilig auswirken könnten. Der Beschwerdeführer sei von der Zuordnung des südlich an seine Parzelle angrenzenden Gebiets zur Intensivlandwirtschaftszone beschwert und insoweit zur Beschwerde befugt. Seine Vorbringen zu den übrigen Intensivlandwirtschaftszonen hingegen würden allgemeine öffentliche Interessen betreffen. Diese Zonen würden das Grundstück des Beschwerdeführers angesichts des Abstands dazu nicht beeinträchtigen. Der Beschwerdeführer sei daher nur bezüglich der an seine Parzelle angrenzenden Intensivlandwirtschaftszone beschwerdebefugt. Soweit er die Festlegung der weiteren Intensivlandwirtschaftszonen auf dem Gemeindegebiet beanstande, sei auf die Beschwerde nicht einzutreten. Im Ergebnis zutreffend habe somit auch die JGK ihre Prüfung auf diese angrenzende Zone beschränkt.</w:t>
      </w:r>
    </w:p>
    <w:p>
      <w:r>
        <w:rPr>
          <w:b/>
        </w:rPr>
        <w:t>E. 2.4</w:t>
      </w:r>
    </w:p>
    <w:p>
      <w:r>
        <w:t>Der Beschwerdeführer rügt, diese Beschränkung seiner Legitimation widerspreche Art. 89 Abs. 1 BGG , weil sie die Überprüfung des raumplanerischen Konzepts sowie der raumplanerischen Interessenabwägung verunmögliche. Die Vorinstanz habe nicht beachtet, dass die Rüge der Missachtung des Konzentrationsprinzips eine Überprüfung der Anordnung und Dimensionierung</w:t>
      </w:r>
    </w:p>
    <w:p>
      <w:r>
        <w:t>aller Intensivlandwirtschaftszonen auf dem Gemeindegebiet erfordere, um die umfassende raumplanerische Interessenabwägung zu ermöglichen. Diese Überprüfung könne zu einer Redimensionierung der Intensivlandwirtschaftszone vor seiner Liegenschaft führen und verschaffe ihm damit einen praktischen Nutzen.</w:t>
      </w:r>
    </w:p>
    <w:p>
      <w:r>
        <w:rPr>
          <w:b/>
        </w:rPr>
        <w:t>E. 2.5</w:t>
      </w:r>
    </w:p>
    <w:p>
      <w:r>
        <w:t>Mit der Teilrevision des Raumplanungsgesetzes vom 20. März 1998 hat der Gesetzgeber in Art. 16a Abs. 3 RPG die Ausscheidung von Intensivlandwirtschaftszonen erlaubt, in denen bodenunabhängige Bewirtschaftungsformen in der Landwirtschaftszone als zonenkonform gelten (Urteil 1C_561/2012 vom 4. Oktober 2013 E. 2.4.3 und 2.4.4). Intensivlandwirtschaftszonen zählen somit nach der bundesrechtlichen Systematik zu den Nichtbauzonen. Faktisch handelt es sich bei ihnen jedoch um "landwirtschaftliche Bauzonen", da sie im Ergebnis bauliche Tätigkeit relativ weitgehend zulassen (Urteil 1C_157/2009 vom 26. November 2009 E. 3.2.4 mit Hinweisen, in: ZBl 2011 S. 220). Dies rechtfertigt gemäss der zutreffenden Meinung der Vorinstanz, das bezüglich Bauzonen geltende Konzentrationsprinzip sinngemäss auch auf Intensivlandwirtschaftszonen anzuwenden. Entsprechend wird in den vom Bundesamt für Raumentwicklung (ARE) herausgegebenen Erläuterungen zum neuen Raumplanungsrecht ausgeführt, ein Wildwuchs einzelner Bauten und Anlagen für die bodenunabhängige Produktion in zufälliger Verteilung über den gesamten Landschaftsraum sei zu verhindern; anzustreben sei eine Zusammenfassung der Bedürfnisse an einem Standort pro Planungsgebiet (ARE, Neues Raumplanungsrecht, Teil II, Ausscheidung von Zonen nach Artikel 16a Absatz 3 RPG in Verbindung mit Artikel 38 RPV, Bern 2000/01, S. 3).</w:t>
      </w:r>
    </w:p>
    <w:p>
      <w:r>
        <w:rPr>
          <w:b/>
        </w:rPr>
        <w:t>E. 2.6</w:t>
      </w:r>
    </w:p>
    <w:p>
      <w:r>
        <w:t>Der Beschwerdeführer wird durch die Zuweisung des südlich an seine Liegenschaft angrenzenden Gebiets zur Intensivlandwirtschaftszone in räumlicher Hinsicht belastet. Er ist daher befugt, die Verletzung des Konzentrationsprinzips hinsichtlich der Anordnung der auf dem Gemeindegebiet vorgesehenen Intensivlandwirtschaftszonen zu rügen, weil eine Zusammenfassung dieser über weite Teile des Gebiets verstreuten Zonen an einem oder wenigen Standorten dazu führen könnte, dass auf die an seine Parzelle angrenzende Intensivlandwirtschaftszone verzichtet oder diese verkleinert wird. Bei der Anwendung des Konzentrationsprinzips sind übergeordnete raumplanerische Aspekte zu beachten und widerstreitende Interessen bezüglich der Standortauswahl in ihrer Gesamtheit gegeneinander abzuwägen (vgl. BGE 132 II 209 E. 2.2.3 S. 216; ARE, a.a.O., S. 6). Demnach ist insoweit eine Gesamtbeurteilung der kommunalen Nutzungsplanung erforderlich, bei der</w:t>
      </w:r>
    </w:p>
    <w:p>
      <w:r>
        <w:t>alle im Planungsgebiet festgesetzten Intensivlandwirtschaftszonen in die Betrachtung einzubeziehen sind. Der Beschwerdeführer ist daher legitimiert, bezüglich des als verletzt gerügten Konzentrationsprinzips eine Gesamtbeurteilung der Intensivlandwirtschaftszonen auf dem Gemeindegebiet zu verlangen. Dies hat die Vorinstanz nicht beachtet. Sie prüfte zwar, ob die Intensivlandwirtschaftszone südlich des Dorfes mit dem Konzentrationsprinzip vereinbar ist, fokussierte sich dabei jedoch auf diese Zone und die westlich des Dorfes Golaten und beidseits des Weilers Lachen vorgesehenen Intensivlandwirtschaftszonen. Mit dieser eingeschränkten Prüfung beging die Vorinstanz eine formelle Rechtsverweigerung. Das angefochtene Urteil ist daher aufzuheben und die Sache ist an die Vorinstanz zurückzuweisen, damit diese umfassend prüft, ob die Beachtung des Konzentrationsprinzips bezüglich der Anordnung</w:t>
      </w:r>
    </w:p>
    <w:p>
      <w:r>
        <w:t>aller Intensivlandwirtschaftszonen in der Gemeinde einen Verzicht auf die südlich des Dorfes Golaten vorgesehene Intensivlandwirtschaftszone oder deren Verkleinerung erfordert. Sollte die Vorinstanz diese Frage beim neuen Entscheid bejahen, müsste die Gemeinde die Intensivlandwirtschaftszonen unter Berücksichtigung des Konzentrationsprinzips neu planen und auflegen.</w:t>
      </w:r>
    </w:p>
    <w:p>
      <w:r>
        <w:rPr>
          <w:b/>
        </w:rPr>
        <w:t>E. 3</w:t>
      </w:r>
    </w:p>
    <w:p>
      <w:r>
        <w:t>Nach dem Gesagten ist die Beschwerde gutzuheissen, der angefochtene Entscheid aufzuheben und die Sache zu neuer Entscheidung (im Sinne der obigen Erwägungen) an die Vorinstanz zurückzuweisen. Da der künftige vorinstanzliche Entscheid in der Sache noch offen ist, erübrigt es sich, auf die vom Beschwerdeführer erhobenen materiellen Rügen einzugehen.</w:t>
      </w:r>
    </w:p>
    <w:p>
      <w:r>
        <w:t>Es sind keine Gerichtskosten zu erheben (vgl. Art. 66 Abs. 4 BGG ). Der Kanton Bern hat dem Beschwerdeführer für das bundesgerichtliche Verfahren eine Parteientschädigung auszurichten (vgl. Art. 68 Abs. 1 und 2 BGG ; vgl. Urteil 1C_555/2013 vom 28. März 2014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