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1C_193/2012 vom 16. Juli 2012</w:t>
      </w:r>
    </w:p>
    <w:p>
      <w:r>
        <w:t>Bundesgericht, 2012-07-16, DE</w:t>
      </w:r>
    </w:p>
    <w:p>
      <w:r>
        <w:rPr>
          <w:b/>
        </w:rPr>
        <w:t xml:space="preserve">Quelle: </w:t>
      </w:r>
      <w:r>
        <w:t>https://mcp.opencaselaw.ch/entscheid/bger_1C_193_2012</w:t>
      </w:r>
    </w:p>
    <w:p>
      <w:r>
        <w:t>FR: TF 1C_193/2012 du 16 juillet 2012</w:t>
      </w:r>
    </w:p>
    <w:p>
      <w:r>
        <w:t>IT: TF 1C_193/2012 del 16 luglio 2012</w:t>
      </w:r>
    </w:p>
    <w:p>
      <w:pPr>
        <w:pStyle w:val="Heading2"/>
      </w:pPr>
      <w:r>
        <w:t>Erwägungen</w:t>
      </w:r>
    </w:p>
    <w:p>
      <w:r>
        <w:rPr>
          <w:b/>
        </w:rPr>
        <w:t>E. 1</w:t>
      </w:r>
    </w:p>
    <w:p>
      <w:r>
        <w:t>Gegen den angefochtenen Entscheid kommt nicht die Beschwerde in Strafsachen nach Art. 78 ff. BGG , sondern jene in öffentlich-rechtlichen Angelegenheiten nach Art. 82 ff. BGG in Betracht ( BGE 137 IV 269 E. 1.3.1 S. 272 mit Hinweisen).</w:t>
      </w:r>
    </w:p>
    <w:p>
      <w:r>
        <w:t>Da die Angezeigten nicht Mitglieder der obersten kantonalen Vollziehungs- und Gerichtsbehörden sind, ist der Ausschlussgrund gemäss Art. 83 lit. e BGG nicht anwendbar ( BGE 137 IV 269 E. 1.3.2 S. 272 f.).</w:t>
      </w:r>
    </w:p>
    <w:p>
      <w:r>
        <w:t>Ob die Beschwerdeführer gemäss Art. 89 Abs. 1 BGG zur Beschwerde berechtigt sind, braucht nicht näher geprüft zu werden, da die Beschwerde aus folgenden Erwägungen jedenfalls unbegründet ist.</w:t>
      </w:r>
    </w:p>
    <w:p>
      <w:r>
        <w:rPr>
          <w:b/>
        </w:rPr>
        <w:t>E. 2.1</w:t>
      </w:r>
    </w:p>
    <w:p>
      <w:r>
        <w:t>Wie die Vorinstanz für das Bundesgericht verbindlich feststellt ( Art. 105 Abs. 1 BGG ), hat der Kantonstierarzt mit Verfügung vom 17. August 2011 den Beschwerdeführern und jedem anderen Betreiber der Fischfarm strikt untersagt, Fische in die Fischzuchtanlage einzubringen; bei Nichtbefolgung würden die Fische in Anwendung von Art. 105 des Gesetzes vom 16. Mai 1965 des Kantons St. Gallen über die Verwaltungsrechtspflege (VRP; sGS 951.1) mit polizeilicher Hilfe auf dem Weg der Ersatzvornahme unter Kosten- und Entschädigungsfolge zulasten der Beschwerdeführer beseitigt. Anlässlich der amtlichen Kontrolle am 4. November 2011 in der Fischzuchtanlage musste festgestellt werden, dass gegen diese Verfügung verstossen wurde. Infolgedessen setzte der Kantonstierarzt mit Schreiben vom 4. November 2011 den Beschwerdeführern eine Frist bis zum 9. November 2011 an, die Fische selber zu beseitigen; andernfalls werde die angedrohte Zwangsvollstreckung auf dem Weg der Ersatzvornahme durchgeführt. Die Anzeiger wurden nicht selber tätig, weshalb am 10. November 2011 die Ersatzvornahme vollzogen wurde (angefochtener Entscheid E. 5 S. 3 f.).</w:t>
      </w:r>
    </w:p>
    <w:p>
      <w:r>
        <w:rPr>
          <w:b/>
        </w:rPr>
        <w:t>E. 2.2</w:t>
      </w:r>
    </w:p>
    <w:p>
      <w:r>
        <w:t>Soweit die Beschwerdeführer vorbringen, nach dem 17. August 2011 - dem Datum der erwähnten Verfügung - seien keine Fische in die Fischzuchtanlage eingebracht worden, stützen sie sich auf einen Sachverhalt, den die Vorinstanz nicht festgestellt hat. Darauf kann nicht eingetreten werden ( Art. 105 Abs. 1 BGG ).</w:t>
      </w:r>
    </w:p>
    <w:p>
      <w:r>
        <w:rPr>
          <w:b/>
        </w:rPr>
        <w:t>E. 2.3</w:t>
      </w:r>
    </w:p>
    <w:p>
      <w:r>
        <w:t>Die Vorinstanz kommt ausgehend von ihren verbindlichen Feststellungen zum Schluss, ein allfälliges strafrechtliches Verhalten der Angezeigten wäre gerechtfertigt gewesen (angefochtener Entscheid E. 6 S. 4).</w:t>
      </w:r>
    </w:p>
    <w:p>
      <w:r>
        <w:t>Dies trifft offensichtlich zu. Wer handelt, wie es das Gesetz gebietet oder erlaubt, verhält sich gemäss Art. 14 StGB rechtmässig, auch wenn die Tat nach diesem oder einem anderen Gesetz mit Strafe bedroht ist. Art. 104 f. VRP regeln die Zwangsvollstreckung. Ist die Verfügung oder der Entscheid auf Vornahme einer Handlung, auf Duldung oder auf Unterlassung gerichtet, so erfolgt gemäss Art. 105 VRP die Zwangsvollstreckung, wenn nötig mit polizeilicher Hilfe, auf dem Wege der Ersatzvornahme durch die Behörde oder einen von ihr beauftragten Dritten oder durch unmittelbaren Zwang (Abs. 1). Sofern nicht Gefahr im Verzug liegt, muss das Zwangsmittel unter Ansetzung einer angemessenen Frist angedroht werden (Abs. 2). Dem hat das Vorgehen der Angezeigten entsprochen. Diese haben damit so gehandelt, wie es das Gesetz erlaubt. Ein allfälliges tatbestandsmässiges Verhalten wäre deshalb nach Art. 14 StGB gerechtfertigt gewesen.</w:t>
      </w:r>
    </w:p>
    <w:p>
      <w:r>
        <w:t>Wenn die Vorinstanz bei dieser Sachlage die Eröffnung eines Strafverfahrens abgelehnt hat, verletzt das kein Bundesrecht.</w:t>
      </w:r>
    </w:p>
    <w:p>
      <w:r>
        <w:rPr>
          <w:b/>
        </w:rPr>
        <w:t>E. 3</w:t>
      </w:r>
    </w:p>
    <w:p>
      <w:r>
        <w:t>Soweit die Beschwerdeführer eine Verletzung des rechtlichen Gehörs ( Art. 29 Abs. 2 BV ) rügen, weil die Vorinstanz sie auf den "Status eines Anzeigeerstatters herabgestuft" habe, ist die Beschwerde offensichtlich unbehelflich. Die Beschwerdeführer haben ihr Schreiben vom 6. Februar 2012 selber (fett) als Strafanzeige betitelt. Damit können sie sich nicht darüber beklagen, wenn sie die Vorinstanz als Anzeigeerstatter bezeichnet hat.</w:t>
      </w:r>
    </w:p>
    <w:p>
      <w:r>
        <w:rPr>
          <w:b/>
        </w:rPr>
        <w:t>E. 4</w:t>
      </w:r>
    </w:p>
    <w:p>
      <w:r>
        <w:t>Nach dem Gesagten ist die Beschwerde abzuweisen, soweit darauf eingetreten werden kann.</w:t>
      </w:r>
    </w:p>
    <w:p>
      <w:r>
        <w:t>Bei diesem Ausgang des Verfahrens tragen die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