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193/2010 vom 4. November 2010</w:t>
      </w:r>
    </w:p>
    <w:p>
      <w:r>
        <w:t>Bundesgericht, 2010-11-04, DE</w:t>
      </w:r>
    </w:p>
    <w:p>
      <w:r>
        <w:rPr>
          <w:b/>
        </w:rPr>
        <w:t xml:space="preserve">Quelle: </w:t>
      </w:r>
      <w:r>
        <w:t>https://mcp.opencaselaw.ch/entscheid/bger_1C_193_2010</w:t>
      </w:r>
    </w:p>
    <w:p>
      <w:r>
        <w:t>FR: TF 1C 193/2010 du 4 novembre 2010</w:t>
      </w:r>
    </w:p>
    <w:p>
      <w:r>
        <w:t>IT: TF 1C 193/2010 del 4 novembre 2010</w:t>
      </w:r>
    </w:p>
    <w:p>
      <w:pPr>
        <w:pStyle w:val="Heading2"/>
      </w:pPr>
      <w:r>
        <w:t>Regeste</w:t>
      </w:r>
    </w:p>
    <w:p>
      <w:r>
        <w:t>Nichtigerklärung der erleichterten Einbürgerung | Bürgerrecht und Ausländerrecht</w:t>
      </w:r>
    </w:p>
    <w:p>
      <w:pPr>
        <w:pStyle w:val="Heading2"/>
      </w:pPr>
      <w:r>
        <w:t>Erwägungen</w:t>
      </w:r>
    </w:p>
    <w:p>
      <w:r>
        <w:rPr>
          <w:b/>
        </w:rPr>
        <w:t>E. 1.1</w:t>
      </w:r>
    </w:p>
    <w:p>
      <w:r>
        <w:t>Das angefochtene Urteil, ein Endentscheid des Bundesverwaltungsgerichts ( Art. 86 Abs. 1 lit. a, Art. 90 BGG ), betrifft die Nichtigerklärung einer erleichterten Einbürgerung gestützt auf Art. 27 Abs. 1 BüG , somit eine öffentlich-rechtliche Angelegenheit im Sinne von Art. 82 lit. a BGG . Die Ausnahme der ordentlichen Einbürgerung gemäss Art. 83 lit. b BGG erstreckt sich nicht auf die Nichtigerklärung der Einbürgerung. Die Beschwerdeführerin hat sich am Verfahren vor der Vorinstanz beteiligt und ist beschwerdelegitimiert ( Art. 89 Abs. 1 BGG ). Auf die Beschwerde ist einzutreten.</w:t>
      </w:r>
    </w:p>
    <w:p>
      <w:r>
        <w:rPr>
          <w:b/>
        </w:rPr>
        <w:t>E. 2.1</w:t>
      </w:r>
    </w:p>
    <w:p>
      <w:r>
        <w:t>Die Beschwerdeführerin macht geltend, die Voraussetzungen der Nichtigerklärung der erleichterten Einbürgerung nach Art. 41 Abs. 1 BüG seien nicht erfüllt. Sie rügt zudem eine Verletzung des Anspruchs auf rechtliches Gehör nach Art. 29 Abs. 2 BV , weil das Bundesverwaltungsgericht eine Einvernahme der Kinder des geschiedenen Ehemanns aus einer ersten Ehe und dessen damaliger Ehefrau abgelehnt hat.</w:t>
      </w:r>
    </w:p>
    <w:p>
      <w:r>
        <w:rPr>
          <w:b/>
        </w:rPr>
        <w:t>E. 2.2</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eine tatsächliche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Nach Art. 41 Abs. 1 BüG kann die Einbürgerung vom Bundesamt für Migration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164 f. mit Hinweisen).</w:t>
      </w:r>
    </w:p>
    <w:p>
      <w:r>
        <w:rPr>
          <w:b/>
        </w:rPr>
        <w:t>E. 2.3</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Der Betroffene ist bei der Sachverhaltsabklärung mitwirkungspflichtig. Die tatsächliche Vermutung betrifft die Beweiswürdigung. Da sie keine Umkehrung der Beweislast bewirkt, muss der Betroffene nicht den Beweis des Gegenteils erbringen. Vielmehr genügt der Nachweis von Zweifeln an der Richtigkeit der Indizien und der daraus gezogenen Schlussfolgerung. Die Beweislast dafür, dass eine eheliche Gemeinschaft im Sinne von Art. 27 BüG im massgeblichen Zeitpunkt der Gesuchseinreichung und der Einbürgerung nicht oder nicht mehr besteht, liegt deshalb bei der Verwaltung.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somit nicht das Gegenteil beweisen. Es genügt, dass er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165 f. mit Hinweisen).</w:t>
      </w:r>
    </w:p>
    <w:p>
      <w:r>
        <w:rPr>
          <w:b/>
        </w:rPr>
        <w:t>E. 2.4</w:t>
      </w:r>
    </w:p>
    <w:p>
      <w:r>
        <w:t>Zu prüfen ist, ob die Beschwerdeführerin im Zeitpunkt der Einbürgerung einen intakten Ehewillen besass und ob sie auf das Fortbestehen einer stabilen ehelichen Gemeinschaft vertrauen durfte. Da die Ehegatten bereits am 30. April 2004 ein gemeinsames Scheidungsbegehren unterzeichneten (d.h. lediglich sieben Monate nach der Einbürgerung), geht das Bundesverwaltungsgericht richtigerweise von der Vermutung aus, dass dies nicht zutraf.</w:t>
      </w:r>
    </w:p>
    <w:p>
      <w:r>
        <w:rPr>
          <w:b/>
        </w:rPr>
        <w:t>E. 2.5</w:t>
      </w:r>
    </w:p>
    <w:p>
      <w:r>
        <w:t>Die Beschwerdeführerin argumentiert, bei der Eheschliessung habe das Aufenthaltsrecht keine Rolle gespielt. Es sei eine Heirat aus Liebe gewesen. In der Ehe sei der beidseitige Kinderwunsch im Vordergrund gestanden. Leider sei ihr Ehemann an Prostatakrebs erkrankt und dadurch zeugungsunfähig geworden. Dabei sei zu berücksichtigen, dass er im Zeitpunkt des Unterschreibens der gemeinsamen Erklärung am 9. September 2003 noch keine genaue Diagnose hatte und mögliche Nebenfolgen der Krankheit noch nicht kannte. Erst nach langem Zögern habe er sie überhaupt mit diesen Tatsachen konfrontiert. Nach gemeinsamen Gesprächen seien sie zum Entschluss gekommen, dass eine Scheidung das Beste für beide Parteien sei. So habe sie als Ehefrau die Aussicht gehabt, ihren Familien- und Kinderwunsch mit einem anderen Partner zu erfüllen. Sie sei ihrem Ehegatten jedoch auch nach der Scheidung treu geblieben und habe ihn gepflegt und unterstützt, bis er schliesslich gestorben sei. Wäre sie tatsächlich eine "eiskalte und berechnende Person", so hätte sie dies nicht getan. Auch hätte sie sich diesfalls nicht scheiden lassen, da ihr ein grösseres Erbe in Aussicht gestanden war. Sie habe sich jedoch nicht späteren Vorwürfen der Erberschleichung aussetzen wollen und deshalb in die Scheidung eingewilligt. Der Vorschlag dazu sei von ihrem damaligen Ehemann ausgegangen, der es ihr habe ermöglichen wollen, mit einem anderen Partner Kinder zu haben.</w:t>
      </w:r>
    </w:p>
    <w:p>
      <w:r>
        <w:rPr>
          <w:b/>
        </w:rPr>
        <w:t>E. 2.6</w:t>
      </w:r>
    </w:p>
    <w:p>
      <w:r>
        <w:t>Das Bundesverwaltungsgericht hält die Darstellung der Ereignisse durch die Beschwerdeführerin für nicht überzeugend. Zwar könne eine intakte eheliche Beziehung durch einen unerfüllten Kinderwunsch destabilisiert werden. Dabei handle es sich aber um einen Prozess, der eine gewisse Zeit in Anspruch nehme. Zwischen dem Zeitpunkt, als die Beschwerdeführerin von der Zeugungsunfähigkeit ihres Ehemanns erfuhr und dem Scheidungsentschluss seien nur einige wenige Tage vergangen. Hinzu komme, dass es nicht nur um die Zeugungsunfähigkeit gegangen sei. Der Ehemann habe an einer lebensbedrohlichen Krankheit gelitten, an der er 21 Monate später gestorben sei. Es wäre zu erwarten gewesen, dass in einer solchen Situation der eheliche Beistand völlig in den Vordergrund trete. Die Beschwerdeführerin sei zudem im April 2004 gerade einmal 26 ½ Jahre alt gewesen. Für die Erfüllung des Kinderwunsches hätte noch lange Zeit bestanden. Zudem habe der Ehemann offenbar sehr wohl gewusst, dass ihm nur noch eine kurze Lebensspanne verblieb. Inwieweit unter diesen Umständen der Familien- und Kinderwunsch der Beschwerdeführerin gefährdet und ihre Zukunft verbaut worden wäre, hätten die Ehegatten an der Ehe festgehalten, könne nicht nachvollzogen werden. Auch in Bezug auf die Frage der Erbberechtigung ergäben die Erklärungen der Beschwerdeführerin keinen Sinn.</w:t>
      </w:r>
    </w:p>
    <w:p>
      <w:r>
        <w:rPr>
          <w:b/>
        </w:rPr>
        <w:t>E. 2.7</w:t>
      </w:r>
    </w:p>
    <w:p>
      <w:r>
        <w:t>Die vorinstanzlichen Erwägungen sind überzeugend. Nach den Ausführungen der Beschwerdeführerin war es nicht eigentlich die Erkrankung ihres Ehemanns, sondern die damit verbundene Zeugungsunfähigkeit, welche zum Scheitern der Ehe führte. Zwar kann, wie dies das Bundesverwaltungsgericht richtigerweise einräumte, ein unerfüllter Kinderwunsch eine intakte Ehe beeinträchtigen. Dass das sonst glückliche Ehepaar jedoch innert weniger Tage nachdem die Beschwerdeführerin von der Zeugungsunfähigkeit ihres Gatten erfuhr, sich deswegen zu einer Scheidung entschloss und auch gleich ein gemeinsames Scheidungsbegehren unterzeichnete, erscheint nicht glaubhaft. Hinzu kommt, dass spätestens zu diesem Zeitpunkt die Eheleute nach den unbestrittenen Ausführungen im angefochtenen Entscheid auch nicht mehr an derselben Adresse lebten. Es ist nicht einsichtig, weshalb sie sich in der ausgesprochen schwierigen persönlichen Situation zu einer derartigen Hast veranlasst gesehen haben. Die Beschwerdeführerin hat dies auch in ihrer Beschwerde an das Bundesgericht nicht überzeugend zu erklären vermocht. Insgesamt hat sie deshalb auch nicht in plausibler Weise dargelegt, dass die Zeugungsunfähigkeit als ausserordentliches, nach der erleichterten Einbürgerung eingetretenes Ereignis zum raschen Scheitern der Ehe geführt hat.</w:t>
      </w:r>
    </w:p>
    <w:p>
      <w:r>
        <w:rPr>
          <w:b/>
        </w:rPr>
        <w:t>E. 2.8</w:t>
      </w:r>
    </w:p>
    <w:p>
      <w:r>
        <w:t>Vor diesem Hintergrund ist auch nicht zu beanstanden, dass das Bundesverwaltungsgericht von einer Einvernahme der Kinder des geschiedenen Ehemanns aus einer ersten Ehe und dessen damaliger Ehefrau absah. Der aus dem Anspruch auf rechtliches Gehör ( Art. 29 Abs. 2 BV ) abgeleitete Anspruch auf Abnahme rechtserheblicher Beweise ist nicht absolut. Es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 Es ist nicht willkürlich anzunehmen, die beantragte Einvernahme würde am dargelegten Ergebnis nichts ändern. Die Beschwerdeführerin sagt denn auch nicht, was sie damit konkret aufzeigen will. Eine Verletzung des rechtlichen Gehörs ist unter diesen Umständen zu verneinen.</w:t>
      </w:r>
    </w:p>
    <w:p>
      <w:r>
        <w:rPr>
          <w:b/>
        </w:rPr>
        <w:t>E. 3</w:t>
      </w:r>
    </w:p>
    <w:p>
      <w:r>
        <w:t>Die Beschwerde ist nach dem Gesagten abzuweisen. Bei diesem Ausgang trägt die Beschwerdeführerin die Gerichtskosten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