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1C_192/2023 vom 8. Juni 2023</w:t>
      </w:r>
    </w:p>
    <w:p>
      <w:r>
        <w:t>Bundesgericht, 2023-06-08, DE</w:t>
      </w:r>
    </w:p>
    <w:p>
      <w:r>
        <w:rPr>
          <w:b/>
        </w:rPr>
        <w:t xml:space="preserve">Quelle: </w:t>
      </w:r>
      <w:r>
        <w:t>https://mcp.opencaselaw.ch/entscheid/bger_1C_192_2023</w:t>
      </w:r>
    </w:p>
    <w:p>
      <w:r>
        <w:t>FR: TF 1C_192/2023 du 8 juin 2023</w:t>
      </w:r>
    </w:p>
    <w:p>
      <w:r>
        <w:t>IT: TF 1C_192/2023 del 8 giugno 2023</w:t>
      </w:r>
    </w:p>
    <w:p>
      <w:pPr>
        <w:pStyle w:val="Heading2"/>
      </w:pPr>
      <w:r>
        <w:t>Erwägungen</w:t>
      </w:r>
    </w:p>
    <w:p>
      <w:r>
        <w:rPr>
          <w:b/>
        </w:rPr>
        <w:t>E. 1</w:t>
      </w:r>
    </w:p>
    <w:p>
      <w:r>
        <w:t>Am 17. Oktober 2022 erstattete A.________ gegen einen unbekannten Mitarbeiter oder eine unbekannte Mitarbeiterin der Zürcher Gesundheitsdirektion, mutmasslich B.________, Strafanzeige wegen Amtsmissbrauchs; dieser habe auf ein Gesuch der Staatsanwaltschaft Winterthur/Unterland um Aktenbeizug hin zwei Aufsichtsbeschwerden, die sie gegen zwei Ärztinnen gestellt habe, (unerlaubt) herausgegeben.</w:t>
      </w:r>
    </w:p>
    <w:p>
      <w:r>
        <w:t>Am 24. November 2022 überwies die Staatsanwaltschaft die Akten ans Obergericht des Kantons Zürich mit dem Antrag, über die Erteilung bzw. Nichterteilung der Ermächtigung zur Durchführung einer Strafuntersuchung zu entscheiden. Sie beantragte, die Ermächtigung nicht zu erteilen.</w:t>
      </w:r>
    </w:p>
    <w:p>
      <w:r>
        <w:t>Mit Beschluss vom 10. März 2023 erteilte das Obergericht der Staatsanwaltschaft die Ermächtigung zur Eröffnung eines Strafverfahrens gegen B.________ bzw. unbekannte Mitarbeitende der Gesundheitsdirektion nicht.</w:t>
      </w:r>
    </w:p>
    <w:p>
      <w:r>
        <w:t>Mit Beschwerde vom 26. April 2023 beantragt A.________, diesen Entscheid aufzuheben und der Staatsanwalt die Ermächtigung zur Eröffnung dieser Strafuntersuchung zu erteilen. Ausserdem ersucht sie um unentgeltliche Rechtspflege.</w:t>
      </w:r>
    </w:p>
    <w:p>
      <w:r>
        <w:t>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von B.________ oder weiterer Mitarbeitender der Gesundheitsdirektion, alles Beamte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Obergericht hat im angefochtenen Entscheid erwogen, die Herausgabe der von der Staatsanwaltschaft im Rahmen eines Strafverfahrens gegen die Beschwerdeführerin angeforderten Akten sei nach Art. 194 StPO rechtmässig erfolgt und stelle damit von vornherein keine Amtsgeheimnisverletzung dar. Dass sie gegen den Willen der Beschwerdeführerin erfolgt sei, begründe per se auch keinen Verdacht auf einen Amtsmissbrauch.</w:t>
      </w:r>
    </w:p>
    <w:p>
      <w:r>
        <w:t>Die Beschwerdeführerin setzt sich mit dieser Begründung nicht sachgerecht auseinander. Dass sie als Beschuldigte ein Interesse daran hat, die Herausgabe von allenfalls belastendem Aktenmaterial zu verhindern, ist zwar nachvollziehbar. Inwiefern dieses private Interesse indessen das öffentliche Interesse an der ordnungsgemässen Durchführung des Strafverfahrens überwiegen soll, was nach Art. 194 Abs. 2 StPO allein einer Herausgabe entgegenstehen könnte, legt sie nicht dar und das ist auch nicht ersichtlich.</w:t>
      </w:r>
    </w:p>
    <w:p>
      <w:r>
        <w:t>Die Beschwerdeführerin bringt damit nichts vor, was die zutreffende Einschätzung des Obergerichts, die in der Strafanzeige erhobenen Vorwürfe seien von vornherein nicht geeignet, einen Anfangsverdacht für ein strafbares Verhalten des bzw. der Beschwerdegegnerschaft zu begründen, in Frage zu stellen vermag.</w:t>
      </w:r>
    </w:p>
    <w:p>
      <w:r>
        <w:t>Auf die Beschwerde ist wegen Verletzung der gesetzlichen Begründungspflicht nicht einzutreten. Ausnahmsweise kann auf die Erhebung von Kosten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