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1C_192/2020 vom 14. Mai 2020</w:t>
      </w:r>
    </w:p>
    <w:p>
      <w:r>
        <w:t>Bundesgericht, 2020-05-14, DE</w:t>
      </w:r>
    </w:p>
    <w:p>
      <w:r>
        <w:rPr>
          <w:b/>
        </w:rPr>
        <w:t xml:space="preserve">Quelle: </w:t>
      </w:r>
      <w:r>
        <w:t>https://mcp.opencaselaw.ch/entscheid/bger_1C_192_2020</w:t>
      </w:r>
    </w:p>
    <w:p>
      <w:r>
        <w:t>FR: TF 1C_192/2020 du 14 mai 2020</w:t>
      </w:r>
    </w:p>
    <w:p>
      <w:r>
        <w:t>IT: TF 1C_192/2020 del 14 maggio 2020</w:t>
      </w:r>
    </w:p>
    <w:p>
      <w:pPr>
        <w:pStyle w:val="Heading2"/>
      </w:pPr>
      <w:r>
        <w:t>Erwägungen</w:t>
      </w:r>
    </w:p>
    <w:p>
      <w:r>
        <w:rPr>
          <w:b/>
        </w:rPr>
        <w:t>E. 1</w:t>
      </w:r>
    </w:p>
    <w:p>
      <w:r>
        <w:t>Mit Beschluss vom 28. Februar 2020 erteilte das Obergericht des Kantons Zürich der Staatsanwaltschaft II des Kantons Zürich die Ermächtigung zur Strafverfolgung von Staatsanwalt Donat Welti, gegen den A.________ Strafanzeige wegen Amtsmissbrauchs etc. eingereicht hatte, nicht.</w:t>
      </w:r>
    </w:p>
    <w:p>
      <w:r>
        <w:t>Mit Beschwerde von 15. April 2020 beantragt A.________ sinngemäss, diesen Entscheid des Obergerichts aufzuheben und der Staatsanwaltschaft die Ermächtigung zur Strafverfolgung von Donat Welti zu erteilen.</w:t>
      </w:r>
    </w:p>
    <w:p>
      <w:r>
        <w:t>Vernehmlassungen wurden keine eingeholt.</w:t>
      </w:r>
    </w:p>
    <w:p>
      <w:r>
        <w:rPr>
          <w:b/>
        </w:rPr>
        <w:t>E. 2</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Zur Beschwerde befugt ist nach Art. 89 Abs. 1 BGG , wer am vorinstanzlichen Verfahren als Partei teilgenommen hat, vom angefochtenen Entscheid besonders berührt ist und ein schutzwürdiges Interesse an dessen Aufhebung hat.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Art. 312 StGB schützt vorab öffentliche Interessen am reibungslosen Funktionieren von Justiz, Regierung und Verwaltung; führt Amtsmissbrauch indessen zu einer unmittelbaren Beeinträchtigung von Privatpersonen, sind auch diese in ihren schutzwürdigen Interessen betroffen und damit befugt, gegen die Verweigerung der Ermächtigung zur Strafverfolgung Beschwerde ans Bundesgericht zu erheben. Der Beschwerdeführer begründet allerdings nicht, inwiefern er durch Amtsmissbrauch des Beschwerdegegners unmittelbar geschädigt worden sein soll. Er legt aber auch nicht plausibel dar, dass gegen ihn kein Tatverdacht vorlag, der die Eröffnung einer Strafuntersuchung rechtfertigte. Es ergibt sich somit aus der Beschwerde nicht, inwiefern das Obergericht Bundesrecht verletzt haben könnte, indem es einen Anfangsverdacht gegen den Beschwerdegegner, seine Amtsgewalt missbraucht zu haben, um dem Beschwerdeführer zu schaden, verneinte und es dementsprechend ablehnte, die Staatsanwaltschaft zur Strafverfolgung des Beschwerdegegners zu ermächtigen. Auf die Beschwerde ist wegen Verletzung der gesetzlichen Begründungspflicht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