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1C_192/2013 vom 9. Januar 2014</w:t>
      </w:r>
    </w:p>
    <w:p>
      <w:r>
        <w:t>Bundesgericht, 2014-01-09, FR</w:t>
      </w:r>
    </w:p>
    <w:p>
      <w:r>
        <w:rPr>
          <w:b/>
        </w:rPr>
        <w:t xml:space="preserve">Quelle: </w:t>
      </w:r>
      <w:r>
        <w:t>https://mcp.opencaselaw.ch/entscheid/bger_1C_192_2013</w:t>
      </w:r>
    </w:p>
    <w:p>
      <w:r>
        <w:t>FR: TF 1C_192/2013 du 9 janvier 2014</w:t>
      </w:r>
    </w:p>
    <w:p>
      <w:r>
        <w:t>IT: TF 1C_192/2013 del 9 gennaio 2014</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par le destinataire de l'arrêt attaqué qui a un intérêt digne de protection à l'annulation ou à la modification de celui-ci ( art. 89 al. 1 LTF ), le présent recours est en principe recevable.</w:t>
      </w:r>
    </w:p>
    <w:p>
      <w:r>
        <w:rPr>
          <w:b/>
        </w:rPr>
        <w:t>E. 2</w:t>
      </w:r>
    </w:p>
    <w:p>
      <w:r>
        <w:t>Le recourant se plaint d'une constatation erronée des faits pertinents par la cour cantonale. Il invoque également une violation du principe in dubio pro reo, l'instance précédente ayant, selon lui, fondé sa culpabilité en matière de LCR sur des indices non avérés ainsi que sur l'admission acritique de l'ordonnance pénale. En substance, l'intéressé fait grief à la cour cantonale d'avoir retenu à tort qu'il était au volant de son véhicule lorsqu'il était arrivé à Thielle-Wavre et que son taux d'alcoolémie au moment des faits dénoncés (21h00) tombait sous le coup d'une infraction à la LCR. Enfin, le recourant voit une violation de son droit d'être entendu dans le refus des juges cantonaux de procéder à l'audition de B.________ en tant que témoin.</w:t>
      </w:r>
    </w:p>
    <w:p>
      <w:r>
        <w:rPr>
          <w:b/>
        </w:rPr>
        <w:t>E. 2.1.1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2.1.2</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 En particulier, le Tribunal fédéral n'entre pas en matière sur des critiques de type appellatoire portant sur l'état de fait ( ATF 137 II 353 consid. 5.1 p. 356; 136 II 101 consid. 3 p. 104 s. et les arrêts cités).</w:t>
      </w:r>
    </w:p>
    <w:p>
      <w:r>
        <w:rPr>
          <w:b/>
        </w:rPr>
        <w:t>E. 2.2</w:t>
      </w:r>
    </w:p>
    <w:p>
      <w:r>
        <w:t>En l'espèce, par courrier du 20 juin 2007, le SCAN a indiqué au recourant qu'il envisageait de prononcer un retrait du permis de conduire pour les faits dénoncés par le rapport de police. A la demande du recourant, le SCAN a suspendu la procédure administrative jusqu'à droit connu sur le plan pénal. Le 20 juillet 2007, le Ministère public a condamné l'intéressé pour ivresse au volant. Le recourant soutient à cet égard, à tort et de manière purement appellatoire, que le prononcé pénal le sanctionne pour soustraction à une prise de sang plutôt que pour conduite en état d'ivresse. L'ordonnance pénale se fonde en effet sur le rapport de police qui expose que l'intéressé a conduit sous l'influence de l'alcool; l'ordonnance pénale fait de plus expressément référence à l' art. 31 al. 2 LCR qui prescrit notamment que toute personne prise de boisson est tenue de s'abstenir de conduire. En l'occurrence, si le recourant désapprouvait les faits établis au pénal, il lui appartenait de faire valoir ses moyens dans le cadre de la procédure pénale conformément à la jurisprudence précitée. C'est dans ce cadre uniquement qu'il pouvait remettre en cause la crédibilité des constatations de la police cantonale. Dans la mesure où le recourant a retiré en date du 4 décembre 2007 l'opposition qu'il avait formée contre l'ordonnance pénale du 20 juillet 2007, il n'était plus possible de revenir sur les faits constatés au pénal. Par conséquent, c'est en vain que le recourant affirme qu'il n'était pas au volant de son véhicule lors de son arrivée à Thielle-Wavre devant la maison de commune et qu'il n'était pas sous l'influence de l'alcool.</w:t>
      </w:r>
    </w:p>
    <w:p>
      <w:r>
        <w:t>Pour le reste, le recourant ne remet pas en cause le fait qu'à 22h25 il présentait un taux d'alcoolémie de 1,90 o/oo. Il reproche cependant à la cour cantonale d'avoir déduit de ce constat qu'il devait nécessairement présenter "déjà un taux supérieur à la limite autorisée à son arrivée à Thielle-Wavre vers 21h00". Telle qu'elle est formulée, la critique du recourant est irrecevable (cf. consid. 2.1.2 supra). Celui-ci se contente en effet d'affirmer de manière purement appellatoire que l'appréciation de l'instance précédente est pour le moins fantaisiste. Il ne propose aucune démonstration du caractère arbitraire de l'appréciation de la cour cantonale qui a exposé le calcul rétrospectif auquel elle a procédé pour retenir qu'au moment déterminant le recourant présentait un taux alcoolémie qualifié.</w:t>
      </w:r>
    </w:p>
    <w:p>
      <w:r>
        <w:rPr>
          <w:b/>
        </w:rPr>
        <w:t>E. 2.3</w:t>
      </w:r>
    </w:p>
    <w:p>
      <w:r>
        <w:t>Dans ces circonstances, on ne saurait reprocher à l'autorité administrative de s'être considérée comme étant liée par l'état de fait à la base du jugement pénal retenant une conduite en état d'ivresse. Son refus d'instruire, à savoir de procéder à l'audition du témoin B.________ qui devait infirmer les constatations pénales en remettant en cause la légitimité de la mesure d'alcoolémie effectuée, ne viole pas le droit d'être entendu du recourant (cf. art. 29 al. 2 Cst. ).   Au demeurant, telle qu'elle était formulée, sa critique tirée de la violation de son droit d'être entendu ne satisfaisait pas aux exigences stricte de motivation de l' art. 106 al. 2 LTF s'agissant de la violation d'un droit constitutionnel (cf. ATF 135 III 232 consid. 1.2; 134 II 244 consid. 2.2).</w:t>
      </w:r>
    </w:p>
    <w:p>
      <w:r>
        <w:rPr>
          <w:b/>
        </w:rPr>
        <w:t>E. 3</w:t>
      </w:r>
    </w:p>
    <w:p>
      <w:r>
        <w:t>Dans la dernière partie de son écriture, le recourant indique reprendre intégralement le contenu de son mémoire de recours adressé auprès de l'instance précédente afin que celui-ci fasse partie intégrante du présent recours. Ce procédé est irrecevable dès lors que l' art. 42 al. 1 et 2 LTF exige que le recourant discute au moins de manière succincte les considérants de la décision entreprise (cf. ATF 134 V 53 consid. 3.3 p. 60). Il doit exister un lien entre la motivation et la décision attaquée, condition qui fait défaut si le recourant se contente de reprendre mot pour mot la même motivation que celle présentée devant l'instance inférieure ( ATF 134 II 244 consid. 2.1 - 2.3 p. 245 ss). Dans cette mesure le recours est irrecevable.</w:t>
      </w:r>
    </w:p>
    <w:p>
      <w:r>
        <w:rPr>
          <w:b/>
        </w:rPr>
        <w:t>E. 4</w:t>
      </w:r>
    </w:p>
    <w:p>
      <w:r>
        <w:t>Le recourant reproche enfin à la cour cantonale d'avoir violé le principe de célérité, mettant en exergue le fait que presque six années se sont écoulées entre le comportement qui lui est reproché et l'arrêt cantonal.</w:t>
      </w:r>
    </w:p>
    <w:p>
      <w:r>
        <w:rPr>
          <w:b/>
        </w:rPr>
        <w:t>E. 4.1</w:t>
      </w:r>
    </w:p>
    <w:p>
      <w:r>
        <w:t>L' art. 29 al. 1 Cst. garantit à toute personne, dans une procédure judiciaire ou administrative, le droit à ce que sa cause soit traitée dans un délai raisonnable. Cette disposition prohibe le retard injustifié à statuer (cf. ATF 130 I 312 consid. 5.1 p. 331 s.).</w:t>
      </w:r>
    </w:p>
    <w:p>
      <w:r>
        <w:rPr>
          <w:b/>
        </w:rPr>
        <w:t>E. 4.2</w:t>
      </w:r>
    </w:p>
    <w:p>
      <w:r>
        <w:t>La durée de la présente procédure - depuis les faits incriminés jusqu'à l'arrêt du Tribunal fédéral - s'élève à près de 6 années et demie. La longueur de la procédure est certes due en partie au fait que le recourant n'a informé le SCAN du dénouement de la procédure pénale que deux ans après avoir retiré son opposition, violant ainsi son devoir de collaboration; conformément à la décision de suspension de la procédure administrative, il lui incombait en effet d'informer le SCAN quant au dénouement de la procédure pénale (cf. décision de suspension de la procédure). Quoi qu'il en soit, même en tenant compte de cet élément, la durée totale de la présente procédure contrevient au principe de célérité dès lors que la cause ne revêtait aucune difficulté particulière.</w:t>
      </w:r>
    </w:p>
    <w:p>
      <w:r>
        <w:t>La durée du retrait a été fixée au minimum légal de trois mois prévu pour l'infraction commise (cf. art. 16c al. 1 let. b LCR et 16c al. 2 let. a LCR). La durée minimale du retrait de permis de conduire ne peut en principe pas être abaissée en raison d'une violation du droit d'être jugé dans un délai raisonnable ancré aux art. 29 al. 1 Cst. et 6 par. 1 CEDH ( ATF 135 II 334 consid. 2.2 p. 336). Le Tribunal fédéral a toutefois réservé les cas où cette durée était gravement dépassée de sorte que la mesure de retrait aurait perdu tout effet éducatif ou d'amendement ( ATF 135 II 334 consid. 2.3 p. 336). Cette hypothèse n'est pas réalisée dans le cas particulier, de sorte que le retrait de permis de trois mois doit être confirmé. La violation du principe de célérité peut être réparée - au moins partiellement - par la constatation de cette violatio n et la mise à la charge de l'Etat d'une partie des frais de justice ( ATF 135 II 334 consid. 3 p. 337; arrêts 1C_370/2013 du 14 octobre 2013 consid. 6.2 et 1C_445/2010 du 30 novembre 2010 consid. 2.5).</w:t>
      </w:r>
    </w:p>
    <w:p>
      <w:r>
        <w:rPr>
          <w:b/>
        </w:rPr>
        <w:t>E. 5</w:t>
      </w:r>
    </w:p>
    <w:p>
      <w:r>
        <w:t>Le recours doit par conséquent être admis partiellement. Le Tribunal fédéral constate la violation du principe de célérité. Comme le droit du recourant d'être jugé dans un délai raisonnable n'a pas été respecté par les instances précédentes, il se justifie de réformer l'arrêt de la cour cantonale en ce sens que les frais judiciaires pour la procédure devant le Tribunal cantonal sont réduits à 300 francs (au lieu de 770 francs) et mis à la charge du recourant. Compte tenu des circonstances, il n'est pas perçu de frais judiciaires pour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