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1C_191/2012 vom 21. August 2012</w:t>
      </w:r>
    </w:p>
    <w:p>
      <w:r>
        <w:t>Bundesgericht, 2012-08-21, DE</w:t>
      </w:r>
    </w:p>
    <w:p>
      <w:r>
        <w:rPr>
          <w:b/>
        </w:rPr>
        <w:t xml:space="preserve">Quelle: </w:t>
      </w:r>
      <w:r>
        <w:t>https://mcp.opencaselaw.ch/entscheid/bger_1C_191_2012</w:t>
      </w:r>
    </w:p>
    <w:p>
      <w:r>
        <w:t>FR: TF 1C_191/2012 du 21 août 2012</w:t>
      </w:r>
    </w:p>
    <w:p>
      <w:r>
        <w:t>IT: TF 1C_191/2012 del 21 agosto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w:t>
      </w:r>
    </w:p>
    <w:p>
      <w:r>
        <w:rPr>
          <w:b/>
        </w:rPr>
        <w:t>E. 3</w:t>
      </w:r>
    </w:p>
    <w:p>
      <w:r>
        <w:t>Der Beschwerdeführer bestreitet, den Motorradfahrer durch brüskes Bremsen in Gefahr gebracht zu haben. Er habe vielmehr die Bremse bloss angetippt, um den Motorradfahrer hinter ihm auf den ungenügenden Abstand aufmerksam zumachen. Selbst dieser habe ausgesagt, er habe sich nicht ausbremsen lassen, sondern den Beschwerdeführer einfach überholt. Es sei damit sachverhalts- und rechtswidrig, ihm wegen eines "Schikanestopps" eine schwere Widerhandlung im Sinn von Art. 16c SVG anzulasten.</w:t>
      </w:r>
    </w:p>
    <w:p>
      <w:r>
        <w:t>Auszugehen ist davon, dass das umstrittene Bremsmanöver im Strafverfahren als grobe Verkehrsregelverletzung beurteilt wurde. Eine Verurteilung nach Art. 90 Ziff. 2 SVG setzt in objektiver Hinsicht voraus, dass der Täter eine wichtige Verkehrsvorschrift in grober Weise missachtete und die Verkehrssicherheit ernstlich gefährdete. Subjektiv erfordert der Tatbestand ein rücksichtsloses oder sonst schwerwiegend verkehrswidriges Verhalten ( BGE 131 IV 133 E. 3.2 mit Hinweisen). Der Beschwerdeführer hat die strafrechtliche Verurteilung akzeptiert und damit in tatsächlicher Hinsicht den Vorwurf, durch ein krass verkehrswidriges Verhalten die Verkehrssicherheit ernstlich gefährdet zu haben. Er kann daher im Verwaltungsverfahren nach Treu und Glauben nicht mit Erfolg behaupten, die Bremse nur angetippt und den Motorradfahrer hinter ihm nicht gefährdet zu haben. Entgegen der Darstellung des Beschwerdeführers hat im Übrigen der Motorradfahrer klar ausgesagt, er sei durch das umstrittene Bremsmanöver gefährdet worden (Konfrontationseinvernahme vom 19. Januar 2011, Zeile 99 f. S. 4 [Beleg 7 der Beschwerdebeilage]). Das Verwaltungsgericht hat den Vorfall damit zu Recht entsprechend der strafrechtlichen Beurteilung als schwere Widerhandlung im Sinn von Art. 16c SVG beurteilt.</w:t>
      </w:r>
    </w:p>
    <w:p>
      <w:r>
        <w:rPr>
          <w:b/>
        </w:rPr>
        <w:t>E. 4</w:t>
      </w:r>
    </w:p>
    <w:p>
      <w:r>
        <w:t>Nach einer schweren Widerhandlung ist der Führerausweis auf unbestimmte Zeit, mindestens aber für 2 Jahre, zu entziehen, wenn in den vorangegangenen zehn Jahren der Ausweis zweimal wegen schweren Widerhandlungen entzogen war (Art. 16c Abs. 2 lit. d). Das ist der Fall. Der Beschwerdeführer bestreitet nicht, dass ihm der Ausweis wegen schweren Widerhandlungen am 23. Februar 2006 für sechs Monate und am 20. Oktober 2006 für 14 Monate entzogen worden war. Da eine Unterschreitung der gesetzlichen Entzugsdauer unzulässig ist, ist der gegen den Beschwerdeführer verhängte Sicherungsentzug nicht zu beanstanden.</w:t>
      </w:r>
    </w:p>
    <w:p>
      <w:r>
        <w:rPr>
          <w:b/>
        </w:rPr>
        <w:t>E. 5</w:t>
      </w:r>
    </w:p>
    <w:p>
      <w:r>
        <w:t>Die Beschwerde erweist sich somit als offensichtlich unbegründet und ist abzuweisen.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