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1C_190/2022 vom 7. April 2022</w:t>
      </w:r>
    </w:p>
    <w:p>
      <w:r>
        <w:t>Bundesgericht, 2022-04-07, DE</w:t>
      </w:r>
    </w:p>
    <w:p>
      <w:r>
        <w:rPr>
          <w:b/>
        </w:rPr>
        <w:t xml:space="preserve">Quelle: </w:t>
      </w:r>
      <w:r>
        <w:t>https://mcp.opencaselaw.ch/entscheid/bger_1C_190_2022</w:t>
      </w:r>
    </w:p>
    <w:p>
      <w:r>
        <w:t>FR: TF 1C_190/2022 du 7 avril 2022</w:t>
      </w:r>
    </w:p>
    <w:p>
      <w:r>
        <w:t>IT: TF 1C_190/2022 del 7 aprile 2022</w:t>
      </w:r>
    </w:p>
    <w:p>
      <w:pPr>
        <w:pStyle w:val="Heading2"/>
      </w:pPr>
      <w:r>
        <w:t>Erwägungen</w:t>
      </w:r>
    </w:p>
    <w:p>
      <w:r>
        <w:rPr>
          <w:b/>
        </w:rPr>
        <w:t>E. 1</w:t>
      </w:r>
    </w:p>
    <w:p>
      <w:r>
        <w:t>Das Verwaltungsgericht des Kantons Freiburg hat am 14. Februar 2022 die Beschwerde der PRO NATURA - SCHWEIZERISCHER BUND FÜR NATURSCHUTZ betreffend die Abänderung der Baubewilligung für die "Buvette des Sattels" in Jaun (Öffnung im Winter) gutgeheissen und die Sache im Sinne der Erwägungen an die Direktion für Raumentwicklung, Infrastruktur, Mobilität und Umwelt (RIMU) zurückgewiesen. Die Kosten des Verfahrens auferlegte es zu ¾ in der Höhe von Fr. 1'875.- dem Beschwerdegegner A.________. Es verpflichtete diesen zudem der PRO NATURA eine Parteientschädigung von Fr. 5'250.- zu bezahlen.</w:t>
      </w:r>
    </w:p>
    <w:p>
      <w:r>
        <w:t>Mit Eingabe vom 11. März 2022 reichte A.________ beim Verwaltungsgericht einen "Recours contre les frais de la décision du 14 février 2021" ein.</w:t>
      </w:r>
    </w:p>
    <w:p>
      <w:r>
        <w:t>Mit Verfügung vom 18. März 2022 trat das Verwaltungsgericht auf die Kosteneinsprache nicht ein und überwies die Sache zuständigkeitshalber dem Bundesgericht.</w:t>
      </w:r>
    </w:p>
    <w:p>
      <w:r>
        <w:t>Vernehmlassungen wurden keine eingeholt.</w:t>
      </w:r>
    </w:p>
    <w:p>
      <w:r>
        <w:rPr>
          <w:b/>
        </w:rPr>
        <w:t>E. 2</w:t>
      </w:r>
    </w:p>
    <w:p>
      <w:r>
        <w:t>Die Eingabe des Beschwerdeführers vom 11. März 2022 richtet sich gegen die Kosten- und Entschädigungsregelung eines kantonal letztinstanzlichen Entscheids in einer öffentlich-rechtlichen Angelegenheit. Dagegen steht die Beschwerde nach Art. 82 ff. BGG offen, womit die dem Bundesgericht überwiesene Eingabe als solche entgegenzunehmen ist. Er schliesst das Verfahren indessen nicht ab, sondern weist die Sache zur Weiterführung des Verfahrens ans RIMU zurück;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t>Der Beschwerdeführer setzt sich mit den Sachurteilsvoraussetzungen nicht auseinander. Das schadet ihm insofern nicht, als der Rückweisungsentscheid des Verwaltungsgerichts in dieser Konstellation erst anfechtbar ist, wenn das Baubewilligungsverfahren abgeschlossen ist. Auf die Beschwerde ist wegen Verletzung der gesetzlichen Begründungspflicht im vereinfachten Verfahren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