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1C_190/2021 vom 20. April 2021</w:t>
      </w:r>
    </w:p>
    <w:p>
      <w:r>
        <w:t>Bundesgericht, 2021-04-20, DE</w:t>
      </w:r>
    </w:p>
    <w:p>
      <w:r>
        <w:rPr>
          <w:b/>
        </w:rPr>
        <w:t xml:space="preserve">Quelle: </w:t>
      </w:r>
      <w:r>
        <w:t>https://mcp.opencaselaw.ch/entscheid/bger_1C_190_2021</w:t>
      </w:r>
    </w:p>
    <w:p>
      <w:r>
        <w:t>FR: TF 1C_190/2021 du 20 avril 2021</w:t>
      </w:r>
    </w:p>
    <w:p>
      <w:r>
        <w:t>IT: TF 1C_190/2021 del 20 aprile 2021</w:t>
      </w:r>
    </w:p>
    <w:p>
      <w:pPr>
        <w:pStyle w:val="Heading2"/>
      </w:pPr>
      <w:r>
        <w:t>Erwägungen</w:t>
      </w:r>
    </w:p>
    <w:p>
      <w:r>
        <w:rPr>
          <w:b/>
        </w:rPr>
        <w:t>E. 1</w:t>
      </w:r>
    </w:p>
    <w:p>
      <w:r>
        <w:t>Am 12. Mai 2020 erklärte der Gemeinderat der Stadt Grenchen eine Motion von Elias Meier für einen besonderen Schutz der Trinkwasserquellen auf dem Gemeindegebiet für ungültig und legte sie dementsprechend der Gemeindeversammlung nicht zur Abstimmung vor.</w:t>
      </w:r>
    </w:p>
    <w:p>
      <w:r>
        <w:t>Dieser Entscheid wurde vom Verwaltungsgericht des Kantons Solothurn am 3. März 2021 kantonal letztinstanzlich geschützt.</w:t>
      </w:r>
    </w:p>
    <w:p>
      <w:r>
        <w:t>Mit Eingabe vom 16. April 2021 erhebt Elias Meier Beschwerde gegen dieses Urteil des Verwaltungsgerichts.</w:t>
      </w:r>
    </w:p>
    <w:p>
      <w:r>
        <w:t>Vernehmlassungen wurden keine eingeholt.</w:t>
      </w:r>
    </w:p>
    <w:p>
      <w:r>
        <w:rPr>
          <w:b/>
        </w:rPr>
        <w:t>E. 2</w:t>
      </w:r>
    </w:p>
    <w:p>
      <w:r>
        <w:t>Elias Meier hat das Urteil des Verwaltungsgerichts, das ihm nach eigenen Angaben am 5. März 2021 zugestellt wurde, am 16. April 2021, mithin nach Ablauf der nicht erstreckbaren Beschwerdefrist von 30 Tagen ( Art. 47 Abs. 1, Art. 100 Abs. 1 BGG ), angefochten. Er ist zwar der Auffassung, die Frist wegen des nach Art. 46 Abs. 1 lit. a BGG vom siebenten Tag vor Ostern bis und mit dem siebenten Tag nach Ostern geltenden Fristenstillstandes eingehalten zu haben. Die Beschwerde betrifft indessen die Ungültigerklärung einer Motion, mithin eine Stimmrechtssache im Sinn von Art. 82 lit. c BGG , in welcher der Fristenstillstand nach Art. 46 Abs. 2 BGG nicht gilt. Die Beschwerde wurde verspätet eingereicht.</w:t>
      </w:r>
    </w:p>
    <w:p>
      <w:r>
        <w:rPr>
          <w:b/>
        </w:rPr>
        <w:t>E. 3</w:t>
      </w:r>
    </w:p>
    <w:p>
      <w:r>
        <w:t>Auf die Beschwerde ist im vereinfachten Verfahren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